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B3583"/>
          <w:sz w:val="17"/>
        </w:rPr>
        <w:t>AUCOOP · Hospital Digitalisation Handbook · Instrument B-3</w:t>
      </w:r>
    </w:p>
    <w:p>
      <w:pPr>
        <w:spacing w:after="40"/>
      </w:pPr>
      <w:r>
        <w:rPr>
          <w:b/>
          <w:color w:val="0B3583"/>
          <w:sz w:val="36"/>
        </w:rPr>
        <w:t>Mandate and ownership</w:t>
      </w:r>
    </w:p>
    <w:p>
      <w:pPr>
        <w:spacing w:after="120"/>
      </w:pPr>
      <w:r>
        <w:rPr>
          <w:color w:val="5A6672"/>
          <w:sz w:val="18"/>
        </w:rPr>
        <w:t>Before you go   ·   Before configuration starts</w:t>
      </w:r>
    </w:p>
    <w:p>
      <w:pPr>
        <w:spacing w:after="160"/>
      </w:pPr>
      <w:r>
        <w:rPr>
          <w:i/>
          <w:sz w:val="19"/>
        </w:rPr>
        <w:t>Name the six people whose support decides whether this works, speak to each separately, and put the agreement in writing.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Hospital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Unit / area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Completed by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Date</w:t>
              <w:br/>
              <w:br/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color w:val="0B3583"/>
          <w:sz w:val="23"/>
        </w:rPr>
        <w:t>1. The six people — spoken to separately, by name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81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Role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Name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Met on (date)</w:t>
            </w:r>
          </w:p>
        </w:tc>
        <w:tc>
          <w:tcPr>
            <w:tcW w:type="dxa" w:w="255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Q1: What takes too long in your unit?</w:t>
            </w:r>
          </w:p>
        </w:tc>
        <w:tc>
          <w:tcPr>
            <w:tcW w:type="dxa" w:w="255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Q2: What would make this worth your staff's time?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Medical Director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Head of Nursing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Head of Pharmacy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Laboratory Director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Administrator / Finance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IT Officer / technician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color w:val="5A6672"/>
          <w:sz w:val="17"/>
        </w:rPr>
        <w:t>If the IT Officer post does not exist, go back to B-2 — that is a stop-rule condition.</w:t>
      </w:r>
    </w:p>
    <w:p>
      <w:pPr>
        <w:spacing w:before="160" w:after="60"/>
      </w:pPr>
      <w:r>
        <w:rPr>
          <w:b/>
          <w:color w:val="0B3583"/>
          <w:sz w:val="23"/>
        </w:rPr>
        <w:t>2. Super-user candidates (permanent staff, respected, curious — not the most senior)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Name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Unit</w:t>
            </w:r>
          </w:p>
        </w:tc>
        <w:tc>
          <w:tcPr>
            <w:tcW w:type="dxa" w:w="3969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Why them</w:t>
            </w:r>
          </w:p>
        </w:tc>
        <w:tc>
          <w:tcPr>
            <w:tcW w:type="dxa" w:w="192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Time allowance agreed?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3. The written agreement (MoU) — tick when the clause exists in writing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Who owns the system — the hospital, stated explicitly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Who owns the data, and how patient consent is handled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Training commitments: how many staff, released for how long, when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Remote support: what the organisation will and will not do after leaving, and for how long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Who pays for what after we leave: hosting, hardware replacement, the IT post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Signed by the medical director</w:t>
      </w:r>
    </w:p>
    <w:p>
      <w:pPr>
        <w:spacing w:after="20"/>
      </w:pPr>
      <w:r>
        <w:rPr>
          <w:b/>
          <w:sz w:val="19"/>
        </w:rPr>
        <w:t>Existing systems discovered (finance package, any previous digital attempt, who ran it):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672"/>
        <w:sz w:val="16"/>
      </w:rPr>
      <w:t>Handbook v0.3  ·  B-3  ·  Record the handbook version in your closure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