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B-1</w:t>
      </w:r>
    </w:p>
    <w:p>
      <w:pPr>
        <w:spacing w:after="40"/>
      </w:pPr>
      <w:r>
        <w:rPr>
          <w:b/>
          <w:color w:val="0B3583"/>
          <w:sz w:val="36"/>
        </w:rPr>
        <w:t>Readiness assessment</w:t>
      </w:r>
    </w:p>
    <w:p>
      <w:pPr>
        <w:spacing w:after="120"/>
      </w:pPr>
      <w:r>
        <w:rPr>
          <w:color w:val="5A6672"/>
          <w:sz w:val="18"/>
        </w:rPr>
        <w:t>Before you go   ·   Complete remotely before travel; revise on site in week one</w:t>
      </w:r>
    </w:p>
    <w:p>
      <w:pPr>
        <w:spacing w:after="160"/>
      </w:pPr>
      <w:r>
        <w:rPr>
          <w:i/>
          <w:sz w:val="19"/>
        </w:rPr>
        <w:t>Score the gap between what the system will assume and what the hospital actually is. Higher total = higher risk. Feeds B-2.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Design–reality gap — score each dimension 0 (no gap) to 10 (total gap)</w:t>
      </w:r>
    </w:p>
    <w:p>
      <w:pPr>
        <w:spacing w:after="80"/>
      </w:pPr>
      <w:r>
        <w:rPr>
          <w:i/>
          <w:color w:val="5A6672"/>
          <w:sz w:val="17"/>
        </w:rPr>
        <w:t>After Heeks' design–reality gap model. Rate the distance between what the proposed system assumes and what you find.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Dimension</w:t>
            </w:r>
          </w:p>
        </w:tc>
        <w:tc>
          <w:tcPr>
            <w:tcW w:type="dxa" w:w="408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What you are rating</w:t>
            </w:r>
          </w:p>
        </w:tc>
        <w:tc>
          <w:tcPr>
            <w:tcW w:type="dxa" w:w="113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Score 0–10</w:t>
            </w:r>
          </w:p>
        </w:tc>
        <w:tc>
          <w:tcPr>
            <w:tcW w:type="dxa" w:w="272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Evidence / note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Information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What the system expects recorded vs. what is written down today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Technology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Power, network, hardware assumed vs. installed and working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Processes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The workflow the software implies vs. the real patient journey (D-3)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Objectives &amp; values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What the deploying team wants vs. what the hospital wants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Staffing &amp; skills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Digital literacy assumed vs. present on the ward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Management systems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Governance and accountability assumed vs. actual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Other resources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Money and time assumed vs. committed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TOTAL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The four questions that decide survival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Code</w:t>
            </w:r>
          </w:p>
        </w:tc>
        <w:tc>
          <w:tcPr>
            <w:tcW w:type="dxa" w:w="4309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Question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Answer</w:t>
            </w:r>
          </w:p>
        </w:tc>
        <w:tc>
          <w:tcPr>
            <w:tcW w:type="dxa" w:w="294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Detail (name, figure, source)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PAID-IT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 there a paid IT person at the hospital?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OWNER-5Y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 there a funded owner for the system for the next five years?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PRESENCE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How many years is the organisation committed to this site?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HANDOVER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Will a handover pack (L-1) exist on departure?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Result</w:t>
      </w:r>
    </w:p>
    <w:p>
      <w:pPr>
        <w:spacing w:after="80"/>
      </w:pPr>
      <w:r>
        <w:rPr>
          <w:i/>
          <w:color w:val="5A6672"/>
          <w:sz w:val="17"/>
        </w:rPr>
        <w:t>Thresholds and scale anchors are not yet calibrated (v0.4). Use the score to structure the conversation, then complete B-2.</w:t>
      </w:r>
    </w:p>
    <w:p>
      <w:pPr>
        <w:spacing w:after="20"/>
      </w:pPr>
      <w:r>
        <w:rPr>
          <w:b/>
          <w:sz w:val="19"/>
        </w:rPr>
        <w:t>Summary judgement and who you discussed it with: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v0.4  ·  B-1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