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B3583"/>
          <w:sz w:val="17"/>
        </w:rPr>
        <w:t>AUCOOP · Hospital Digitalisation Handbook · Instrument B-2</w:t>
      </w:r>
    </w:p>
    <w:p>
      <w:pPr>
        <w:spacing w:after="40"/>
      </w:pPr>
      <w:r>
        <w:rPr>
          <w:b/>
          <w:color w:val="0B3583"/>
          <w:sz w:val="36"/>
        </w:rPr>
        <w:t>Level decision</w:t>
      </w:r>
    </w:p>
    <w:p>
      <w:pPr>
        <w:spacing w:after="120"/>
      </w:pPr>
      <w:r>
        <w:rPr>
          <w:color w:val="5A6672"/>
          <w:sz w:val="18"/>
        </w:rPr>
        <w:t>Before you go   ·   Complete after B-1, before any equipment is bought</w:t>
      </w:r>
    </w:p>
    <w:p>
      <w:pPr>
        <w:spacing w:after="160"/>
      </w:pPr>
      <w:r>
        <w:rPr>
          <w:i/>
          <w:sz w:val="19"/>
        </w:rPr>
        <w:t>Decide how far up the tool spectrum this deployment goes — driven by what the hospital can sustain after you leave, not by need.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Hospital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Unit / area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Completed by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</w:t>
              <w:br/>
              <w:br/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0B3583"/>
          <w:sz w:val="23"/>
        </w:rPr>
        <w:t>1. The stop rule — tick every statement that is TRUE</w:t>
      </w:r>
    </w:p>
    <w:p>
      <w:pPr>
        <w:spacing w:after="80"/>
      </w:pPr>
      <w:r>
        <w:rPr>
          <w:i/>
          <w:color w:val="5A6672"/>
          <w:sz w:val="17"/>
        </w:rPr>
        <w:t>If ANY box is ticked, drop a level or do not deploy. Dropping a level is not a defeat.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No named person is paid to keep the system running after we leave</w:t>
      </w:r>
      <w:r>
        <w:rPr>
          <w:color w:val="5A6672"/>
          <w:sz w:val="17"/>
        </w:rPr>
        <w:t xml:space="preserve">  — not 'someone will look after it' — a name, a role, a salary line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The medical director has not personally endorsed the project</w:t>
      </w:r>
      <w:r>
        <w:rPr>
          <w:color w:val="5A6672"/>
          <w:sz w:val="17"/>
        </w:rPr>
        <w:t xml:space="preserve">  — an administrator's enthusiasm is not the same authority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There is no route to fund maintenance for five years</w:t>
      </w:r>
      <w:r>
        <w:rPr>
          <w:color w:val="5A6672"/>
          <w:sz w:val="17"/>
        </w:rPr>
        <w:t xml:space="preserve">  — hardware fails, software needs patching, someone must be paid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The unit we intend to digitise has no verified working power AND network</w:t>
      </w:r>
      <w:r>
        <w:rPr>
          <w:color w:val="5A6672"/>
          <w:sz w:val="17"/>
        </w:rPr>
        <w:t xml:space="preserve">  — verified by us, in the room, with a device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We cannot retire the paper process for what we are deploying</w:t>
      </w:r>
      <w:r>
        <w:rPr>
          <w:color w:val="5A6672"/>
          <w:sz w:val="17"/>
        </w:rPr>
        <w:t xml:space="preserve">  — if paper continues alongside, nothing has been digitised</w:t>
      </w:r>
    </w:p>
    <w:p>
      <w:pPr>
        <w:spacing w:before="160" w:after="60"/>
      </w:pPr>
      <w:r>
        <w:rPr>
          <w:b/>
          <w:color w:val="0B3583"/>
          <w:sz w:val="23"/>
        </w:rPr>
        <w:t>2. The tool spectrum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79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Level</w:t>
            </w:r>
          </w:p>
        </w:tc>
        <w:tc>
          <w:tcPr>
            <w:tcW w:type="dxa" w:w="283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Scope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Tools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Minimum to keep it alive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Data collection &amp; surveys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KoBoToolbox, ODK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 trained clerk; no server on a hosted instance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Aggregate reporting &amp; case tracking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DHIS2, CommCare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 reporting officer; alignment with the national system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Clinical EMR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OpenMRS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 part-time IT person; reliable power where clinicians work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Full HIS — clinical, lab, pharmacy, billing</w:t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Bahmni, GNU Health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 paid full-time IT person, a funded five-year owner, a support arrangement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3. Decision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3402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Level chosen (1–4, or 'do not deploy')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B-1 total score</w:t>
            </w:r>
          </w:p>
        </w:tc>
        <w:tc>
          <w:tcPr>
            <w:tcW w:type="dxa" w:w="306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Decided by (names)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sz w:val="19"/>
        </w:rPr>
        <w:t>Justification — why this level and not the one above: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p>
      <w:pPr>
        <w:spacing w:after="20"/>
      </w:pPr>
      <w:r>
        <w:rPr>
          <w:b/>
          <w:sz w:val="19"/>
        </w:rPr>
        <w:t>If we deploy below what was hoped: what has to become true for next year's answer to be higher?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p>
      <w:pPr>
        <w:spacing w:after="80"/>
      </w:pPr>
      <w:r>
        <w:rPr>
          <w:i/>
          <w:color w:val="5A6672"/>
          <w:sz w:val="17"/>
        </w:rPr>
        <w:t>That last line is a prediction with a date on it. Next year's team is asked whether it came true — so write something that can be checked.</w:t>
      </w:r>
    </w:p>
    <w:p>
      <w:pPr>
        <w:spacing w:before="160" w:after="60"/>
      </w:pPr>
      <w:r>
        <w:rPr>
          <w:b/>
          <w:color w:val="0B3583"/>
          <w:sz w:val="23"/>
        </w:rPr>
        <w:t>4. Stop-rule override — complete this ONLY if you ticked a box in section 1 and are deploying anyway</w:t>
      </w:r>
    </w:p>
    <w:p>
      <w:pPr>
        <w:spacing w:after="80"/>
      </w:pPr>
      <w:r>
        <w:rPr>
          <w:i/>
          <w:color w:val="5A6672"/>
          <w:sz w:val="17"/>
        </w:rPr>
        <w:t>This is the most important section on the form. In 2026 at Lunsar every stop-rule condition was true and a level-4 system was deployed by careful engineers with reasons that were never written down. An override is sometimes right. An unrecorded override is how a decision becomes invisible to everyone who comes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3402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Which conditions were true</w:t>
            </w:r>
          </w:p>
        </w:tc>
        <w:tc>
          <w:tcPr>
            <w:tcW w:type="dxa" w:w="147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Deploying anyway?</w:t>
            </w:r>
          </w:p>
        </w:tc>
        <w:tc>
          <w:tcPr>
            <w:tcW w:type="dxa" w:w="306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Decided by (names, roles)</w:t>
            </w:r>
          </w:p>
        </w:tc>
        <w:tc>
          <w:tcPr>
            <w:tcW w:type="dxa" w:w="192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Yes / No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sz w:val="19"/>
        </w:rPr>
        <w:t>On what grounds — the actual reasoning, not the conclusion: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p>
      <w:pPr>
        <w:spacing w:after="20"/>
      </w:pPr>
      <w:r>
        <w:rPr>
          <w:b/>
          <w:sz w:val="19"/>
        </w:rPr>
        <w:t>What is being put in place to compensate, and who is accountable for it: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p>
      <w:pPr>
        <w:spacing w:after="20"/>
      </w:pPr>
      <w:r>
        <w:rPr>
          <w:b/>
          <w:sz w:val="19"/>
        </w:rPr>
        <w:t>What would have to be true for us to reverse this decision, and who reviews it: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672"/>
        <w:sz w:val="16"/>
      </w:rPr>
      <w:t>Handbook v0.4  ·  B-2  ·  Record the handbook version in your closure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