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0B3583"/>
          <w:sz w:val="17"/>
        </w:rPr>
        <w:t>AUCOOP · Hospital Digitalisation Handbook · Instrument B-1</w:t>
      </w:r>
    </w:p>
    <w:p>
      <w:pPr>
        <w:spacing w:after="40"/>
      </w:pPr>
      <w:r>
        <w:rPr>
          <w:b/>
          <w:color w:val="0B3583"/>
          <w:sz w:val="36"/>
        </w:rPr>
        <w:t>Readiness assessment</w:t>
      </w:r>
    </w:p>
    <w:p>
      <w:pPr>
        <w:spacing w:after="120"/>
      </w:pPr>
      <w:r>
        <w:rPr>
          <w:color w:val="5A6672"/>
          <w:sz w:val="18"/>
        </w:rPr>
        <w:t>Before you go   ·   Complete remotely before travel; revise on site in week one</w:t>
      </w:r>
    </w:p>
    <w:p>
      <w:pPr>
        <w:spacing w:after="160"/>
      </w:pPr>
      <w:r>
        <w:rPr>
          <w:i/>
          <w:sz w:val="19"/>
        </w:rPr>
        <w:t>Score the gap between what the system will assume and what the hospital actually is. Higher total = higher risk. Feeds B-2.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Hospital</w:t>
              <w:br/>
              <w:br/>
            </w:r>
          </w:p>
        </w:tc>
        <w:tc>
          <w:tcPr>
            <w:tcW w:type="dxa" w:w="2466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Unit / area</w:t>
              <w:br/>
              <w:br/>
            </w:r>
          </w:p>
        </w:tc>
        <w:tc>
          <w:tcPr>
            <w:tcW w:type="dxa" w:w="2466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Completed by</w:t>
              <w:br/>
              <w:br/>
            </w:r>
          </w:p>
        </w:tc>
        <w:tc>
          <w:tcPr>
            <w:tcW w:type="dxa" w:w="2466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Date</w:t>
              <w:br/>
              <w:br/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0B3583"/>
          <w:sz w:val="23"/>
        </w:rPr>
        <w:t>1. Design–reality gap — score each dimension 0 (no gap) to 10 (total gap)</w:t>
      </w:r>
    </w:p>
    <w:p>
      <w:pPr>
        <w:spacing w:after="80"/>
      </w:pPr>
      <w:r>
        <w:rPr>
          <w:i/>
          <w:color w:val="5A6672"/>
          <w:sz w:val="17"/>
        </w:rPr>
        <w:t>After Heeks' design–reality gap model. Rate the distance between what the proposed system assumes and what you find.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928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Dimension</w:t>
            </w:r>
          </w:p>
        </w:tc>
        <w:tc>
          <w:tcPr>
            <w:tcW w:type="dxa" w:w="4082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What you are rating</w:t>
            </w:r>
          </w:p>
        </w:tc>
        <w:tc>
          <w:tcPr>
            <w:tcW w:type="dxa" w:w="1134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Score 0–10</w:t>
            </w:r>
          </w:p>
        </w:tc>
        <w:tc>
          <w:tcPr>
            <w:tcW w:type="dxa" w:w="2721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Evidence / note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Information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What the system expects recorded vs. what is written down today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Technology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Power, network, hardware assumed vs. installed and working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Processes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The workflow the software implies vs. the real patient journey (D-3)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Objectives &amp; values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What the deploying team wants vs. what the hospital wants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Staffing &amp; skills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Digital literacy assumed vs. present on the ward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Management systems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Governance and accountability assumed vs. actual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Other resources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Money and time assumed vs. committed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TOTAL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0B3583"/>
          <w:sz w:val="23"/>
        </w:rPr>
        <w:t>2. The four questions that decide survival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361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Code</w:t>
            </w:r>
          </w:p>
        </w:tc>
        <w:tc>
          <w:tcPr>
            <w:tcW w:type="dxa" w:w="4309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Question</w:t>
            </w:r>
          </w:p>
        </w:tc>
        <w:tc>
          <w:tcPr>
            <w:tcW w:type="dxa" w:w="1247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Answer</w:t>
            </w:r>
          </w:p>
        </w:tc>
        <w:tc>
          <w:tcPr>
            <w:tcW w:type="dxa" w:w="2948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Detail (name, figure, source)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IT-PERSON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Is a person employed by the hospital responsible for the system, reachable after we leave?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Yes / No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OWNER-COSTS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Is there a named owner, and an agreement on who pays the running costs?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Yes / No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PRESENCE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How many years is the organisation committed to this site?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HANDOVER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Will a handover pack (L-1) exist on departure?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Yes / No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0B3583"/>
          <w:sz w:val="23"/>
        </w:rPr>
        <w:t>3. Result</w:t>
      </w:r>
    </w:p>
    <w:p>
      <w:pPr>
        <w:spacing w:after="80"/>
      </w:pPr>
      <w:r>
        <w:rPr>
          <w:i/>
          <w:color w:val="5A6672"/>
          <w:sz w:val="17"/>
        </w:rPr>
        <w:t>Thresholds and scale anchors are not yet calibrated (v0.5). Use the score to structure the conversation, then complete B-2.</w:t>
      </w:r>
    </w:p>
    <w:p>
      <w:pPr>
        <w:spacing w:after="20"/>
      </w:pPr>
      <w:r>
        <w:rPr>
          <w:b/>
          <w:sz w:val="19"/>
        </w:rPr>
        <w:t>Summary judgement and who you discussed it with: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672"/>
        <w:sz w:val="16"/>
      </w:rPr>
      <w:t>Handbook v0.5  ·  B-1  ·  Record the handbook version in your closure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