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B3583"/>
          <w:sz w:val="17"/>
        </w:rPr>
        <w:t>AUCOOP · Hospital Digitalisation Handbook · Instrument B-2</w:t>
      </w:r>
    </w:p>
    <w:p>
      <w:pPr>
        <w:spacing w:after="40"/>
      </w:pPr>
      <w:r>
        <w:rPr>
          <w:b/>
          <w:color w:val="0B3583"/>
          <w:sz w:val="36"/>
        </w:rPr>
        <w:t>Level decision</w:t>
      </w:r>
    </w:p>
    <w:p>
      <w:pPr>
        <w:spacing w:after="120"/>
      </w:pPr>
      <w:r>
        <w:rPr>
          <w:color w:val="5A6672"/>
          <w:sz w:val="18"/>
        </w:rPr>
        <w:t>Before you go   ·   Complete after B-1, before any equipment is bought</w:t>
      </w:r>
    </w:p>
    <w:p>
      <w:pPr>
        <w:spacing w:after="160"/>
      </w:pPr>
      <w:r>
        <w:rPr>
          <w:i/>
          <w:sz w:val="19"/>
        </w:rPr>
        <w:t>Decide how far up the tool spectrum this deployment goes — driven by what the hospital can sustain after you leave, not by need.</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val="clear" w:color="auto" w:fill="EEF2F7"/>
          </w:tcPr>
          <w:p>
            <w:pPr>
              <w:spacing w:after="40"/>
            </w:pPr>
            <w:r/>
            <w:r>
              <w:rPr>
                <w:b/>
                <w:i w:val="0"/>
                <w:color w:val="5A6672"/>
                <w:sz w:val="17"/>
              </w:rPr>
              <w:t>Hospital</w:t>
              <w:br/>
              <w:br/>
            </w:r>
          </w:p>
        </w:tc>
        <w:tc>
          <w:tcPr>
            <w:tcW w:type="dxa" w:w="2466"/>
            <w:shd w:val="clear" w:color="auto" w:fill="EEF2F7"/>
          </w:tcPr>
          <w:p>
            <w:pPr>
              <w:spacing w:after="40"/>
            </w:pPr>
            <w:r/>
            <w:r>
              <w:rPr>
                <w:b/>
                <w:i w:val="0"/>
                <w:color w:val="5A6672"/>
                <w:sz w:val="17"/>
              </w:rPr>
              <w:t>Unit / area</w:t>
              <w:br/>
              <w:br/>
            </w:r>
          </w:p>
        </w:tc>
        <w:tc>
          <w:tcPr>
            <w:tcW w:type="dxa" w:w="2466"/>
            <w:shd w:val="clear" w:color="auto" w:fill="EEF2F7"/>
          </w:tcPr>
          <w:p>
            <w:pPr>
              <w:spacing w:after="40"/>
            </w:pPr>
            <w:r/>
            <w:r>
              <w:rPr>
                <w:b/>
                <w:i w:val="0"/>
                <w:color w:val="5A6672"/>
                <w:sz w:val="17"/>
              </w:rPr>
              <w:t>Completed by</w:t>
              <w:br/>
              <w:br/>
            </w:r>
          </w:p>
        </w:tc>
        <w:tc>
          <w:tcPr>
            <w:tcW w:type="dxa" w:w="2466"/>
            <w:shd w:val="clear" w:color="auto" w:fill="EEF2F7"/>
          </w:tcPr>
          <w:p>
            <w:pPr>
              <w:spacing w:after="40"/>
            </w:pPr>
            <w:r/>
            <w:r>
              <w:rPr>
                <w:b/>
                <w:i w:val="0"/>
                <w:color w:val="5A6672"/>
                <w:sz w:val="17"/>
              </w:rPr>
              <w:t>Date</w:t>
              <w:br/>
              <w:br/>
            </w:r>
          </w:p>
        </w:tc>
      </w:tr>
    </w:tbl>
    <w:p>
      <w:pPr>
        <w:spacing w:after="80"/>
      </w:pPr>
    </w:p>
    <w:p>
      <w:pPr>
        <w:spacing w:before="160" w:after="60"/>
      </w:pPr>
      <w:r>
        <w:rPr>
          <w:b/>
          <w:color w:val="0B3583"/>
          <w:sz w:val="23"/>
        </w:rPr>
        <w:t>1. The four conditions — tick every condition that HOLDS</w:t>
      </w:r>
    </w:p>
    <w:p>
      <w:pPr>
        <w:spacing w:after="80"/>
      </w:pPr>
      <w:r>
        <w:rPr>
          <w:i/>
          <w:color w:val="5A6672"/>
          <w:sz w:val="17"/>
        </w:rPr>
        <w:t>From the implementation matrix (thesis §6.3.1). None holds: level 1 or 2. Conditions 1 and 2: level 3. All four: level 4, phase by phase. If a condition needed for the planned level does not hold, drop a level or do not deploy.</w:t>
      </w:r>
    </w:p>
    <w:p>
      <w:pPr>
        <w:spacing w:after="40"/>
      </w:pPr>
      <w:r>
        <w:rPr>
          <w:sz w:val="22"/>
        </w:rPr>
        <w:t xml:space="preserve">☐  </w:t>
      </w:r>
      <w:r>
        <w:rPr>
          <w:sz w:val="19"/>
        </w:rPr>
        <w:t>1. A person employed by the hospital is responsible for the system and can be reached after we leave</w:t>
      </w:r>
      <w:r>
        <w:rPr>
          <w:color w:val="5A6672"/>
          <w:sz w:val="17"/>
        </w:rPr>
        <w:t xml:space="preserve">  — a name and a role — not 'someone will look after it'</w:t>
      </w:r>
    </w:p>
    <w:p>
      <w:pPr>
        <w:spacing w:after="40"/>
      </w:pPr>
      <w:r>
        <w:rPr>
          <w:sz w:val="22"/>
        </w:rPr>
        <w:t xml:space="preserve">☐  </w:t>
      </w:r>
      <w:r>
        <w:rPr>
          <w:sz w:val="19"/>
        </w:rPr>
        <w:t>2. Protected power and a working network at the point of use, verified in each unit</w:t>
      </w:r>
      <w:r>
        <w:rPr>
          <w:color w:val="5A6672"/>
          <w:sz w:val="17"/>
        </w:rPr>
        <w:t xml:space="preserve">  — verified by us, in the room, with a device</w:t>
      </w:r>
    </w:p>
    <w:p>
      <w:pPr>
        <w:spacing w:after="40"/>
      </w:pPr>
      <w:r>
        <w:rPr>
          <w:sz w:val="22"/>
        </w:rPr>
        <w:t xml:space="preserve">☐  </w:t>
      </w:r>
      <w:r>
        <w:rPr>
          <w:sz w:val="19"/>
        </w:rPr>
        <w:t>3. A management mandate: a named owner, and agreement to close the paper registers when the exit criteria are met</w:t>
      </w:r>
      <w:r>
        <w:rPr>
          <w:color w:val="5A6672"/>
          <w:sz w:val="17"/>
        </w:rPr>
        <w:t xml:space="preserve">  — an administrator's enthusiasm is not the same authority</w:t>
      </w:r>
    </w:p>
    <w:p>
      <w:pPr>
        <w:spacing w:after="40"/>
      </w:pPr>
      <w:r>
        <w:rPr>
          <w:sz w:val="22"/>
        </w:rPr>
        <w:t xml:space="preserve">☐  </w:t>
      </w:r>
      <w:r>
        <w:rPr>
          <w:sz w:val="19"/>
        </w:rPr>
        <w:t>4. A paper process that can actually be retired, including the statutory returns that depend on it</w:t>
      </w:r>
      <w:r>
        <w:rPr>
          <w:color w:val="5A6672"/>
          <w:sz w:val="17"/>
        </w:rPr>
        <w:t xml:space="preserve">  — if paper continues alongside, nothing has been digitised</w:t>
      </w:r>
    </w:p>
    <w:p>
      <w:pPr>
        <w:spacing w:after="40"/>
      </w:pPr>
      <w:r>
        <w:rPr>
          <w:sz w:val="22"/>
        </w:rPr>
        <w:t xml:space="preserve">☐  </w:t>
      </w:r>
      <w:r>
        <w:rPr>
          <w:sz w:val="19"/>
        </w:rPr>
        <w:t>Who pays the running costs — connectivity, spares, batteries, support — is agreed</w:t>
      </w:r>
      <w:r>
        <w:rPr>
          <w:color w:val="5A6672"/>
          <w:sz w:val="17"/>
        </w:rPr>
        <w:t xml:space="preserve">  — not a level condition, but agree it before anything is bought</w:t>
      </w:r>
    </w:p>
    <w:p>
      <w:pPr>
        <w:spacing w:before="160" w:after="60"/>
      </w:pPr>
      <w:r>
        <w:rPr>
          <w:b/>
          <w:color w:val="0B3583"/>
          <w:sz w:val="23"/>
        </w:rPr>
        <w:t>2. The tool spectrum</w:t>
      </w:r>
    </w:p>
    <w:tbl>
      <w:tblPr>
        <w:tblStyle w:val="TableGrid"/>
        <w:tblW w:type="auto" w:w="0"/>
        <w:tblLook w:firstColumn="1" w:firstRow="1" w:lastColumn="0" w:lastRow="0" w:noHBand="0" w:noVBand="1" w:val="04A0"/>
      </w:tblPr>
      <w:tblGrid>
        <w:gridCol w:w="2466"/>
        <w:gridCol w:w="2466"/>
        <w:gridCol w:w="2466"/>
        <w:gridCol w:w="2466"/>
      </w:tblGrid>
      <w:tr>
        <w:tc>
          <w:tcPr>
            <w:tcW w:type="dxa" w:w="794"/>
            <w:shd w:val="clear" w:color="auto" w:fill="EEF2F7"/>
          </w:tcPr>
          <w:p>
            <w:pPr>
              <w:spacing w:after="40"/>
            </w:pPr>
            <w:r/>
            <w:r>
              <w:rPr>
                <w:b/>
                <w:i w:val="0"/>
                <w:color w:val="5A6672"/>
                <w:sz w:val="17"/>
              </w:rPr>
              <w:t>Level</w:t>
            </w:r>
          </w:p>
        </w:tc>
        <w:tc>
          <w:tcPr>
            <w:tcW w:type="dxa" w:w="2835"/>
            <w:shd w:val="clear" w:color="auto" w:fill="EEF2F7"/>
          </w:tcPr>
          <w:p>
            <w:pPr>
              <w:spacing w:after="40"/>
            </w:pPr>
            <w:r/>
            <w:r>
              <w:rPr>
                <w:b/>
                <w:i w:val="0"/>
                <w:color w:val="5A6672"/>
                <w:sz w:val="17"/>
              </w:rPr>
              <w:t>Scope</w:t>
            </w:r>
          </w:p>
        </w:tc>
        <w:tc>
          <w:tcPr>
            <w:tcW w:type="dxa" w:w="2041"/>
            <w:shd w:val="clear" w:color="auto" w:fill="EEF2F7"/>
          </w:tcPr>
          <w:p>
            <w:pPr>
              <w:spacing w:after="40"/>
            </w:pPr>
            <w:r/>
            <w:r>
              <w:rPr>
                <w:b/>
                <w:i w:val="0"/>
                <w:color w:val="5A6672"/>
                <w:sz w:val="17"/>
              </w:rPr>
              <w:t>Tools</w:t>
            </w:r>
          </w:p>
        </w:tc>
        <w:tc>
          <w:tcPr>
            <w:tcW w:type="dxa" w:w="4195"/>
            <w:shd w:val="clear" w:color="auto" w:fill="EEF2F7"/>
          </w:tcPr>
          <w:p>
            <w:pPr>
              <w:spacing w:after="40"/>
            </w:pPr>
            <w:r/>
            <w:r>
              <w:rPr>
                <w:b/>
                <w:i w:val="0"/>
                <w:color w:val="5A6672"/>
                <w:sz w:val="17"/>
              </w:rPr>
              <w:t>When</w:t>
            </w:r>
          </w:p>
        </w:tc>
      </w:tr>
      <w:tr>
        <w:tc>
          <w:tcPr>
            <w:tcW w:type="dxa" w:w="794"/>
          </w:tcPr>
          <w:p>
            <w:pPr>
              <w:spacing w:after="40"/>
            </w:pPr>
            <w:r/>
            <w:r>
              <w:rPr>
                <w:b w:val="0"/>
                <w:i w:val="0"/>
                <w:sz w:val="18"/>
              </w:rPr>
              <w:t>1</w:t>
            </w:r>
          </w:p>
        </w:tc>
        <w:tc>
          <w:tcPr>
            <w:tcW w:type="dxa" w:w="2835"/>
          </w:tcPr>
          <w:p>
            <w:pPr>
              <w:spacing w:after="40"/>
            </w:pPr>
            <w:r/>
            <w:r>
              <w:rPr>
                <w:b w:val="0"/>
                <w:i w:val="0"/>
                <w:sz w:val="18"/>
              </w:rPr>
              <w:t>Data collection &amp; surveys</w:t>
            </w:r>
          </w:p>
        </w:tc>
        <w:tc>
          <w:tcPr>
            <w:tcW w:type="dxa" w:w="2041"/>
          </w:tcPr>
          <w:p>
            <w:pPr>
              <w:spacing w:after="40"/>
            </w:pPr>
            <w:r/>
            <w:r>
              <w:rPr>
                <w:b w:val="0"/>
                <w:i w:val="0"/>
                <w:sz w:val="18"/>
              </w:rPr>
              <w:t>KoBoToolbox, ODK</w:t>
            </w:r>
          </w:p>
        </w:tc>
        <w:tc>
          <w:tcPr>
            <w:tcW w:type="dxa" w:w="4195"/>
          </w:tcPr>
          <w:p>
            <w:pPr>
              <w:spacing w:after="40"/>
            </w:pPr>
            <w:r/>
            <w:r>
              <w:rPr>
                <w:b w:val="0"/>
                <w:i w:val="0"/>
                <w:sz w:val="18"/>
              </w:rPr>
              <w:t>None of the four conditions holds</w:t>
            </w:r>
          </w:p>
        </w:tc>
      </w:tr>
      <w:tr>
        <w:tc>
          <w:tcPr>
            <w:tcW w:type="dxa" w:w="794"/>
          </w:tcPr>
          <w:p>
            <w:pPr>
              <w:spacing w:after="40"/>
            </w:pPr>
            <w:r/>
            <w:r>
              <w:rPr>
                <w:b w:val="0"/>
                <w:i w:val="0"/>
                <w:sz w:val="18"/>
              </w:rPr>
              <w:t>2</w:t>
            </w:r>
          </w:p>
        </w:tc>
        <w:tc>
          <w:tcPr>
            <w:tcW w:type="dxa" w:w="2835"/>
          </w:tcPr>
          <w:p>
            <w:pPr>
              <w:spacing w:after="40"/>
            </w:pPr>
            <w:r/>
            <w:r>
              <w:rPr>
                <w:b w:val="0"/>
                <w:i w:val="0"/>
                <w:sz w:val="18"/>
              </w:rPr>
              <w:t>Aggregate reporting &amp; case tracking</w:t>
            </w:r>
          </w:p>
        </w:tc>
        <w:tc>
          <w:tcPr>
            <w:tcW w:type="dxa" w:w="2041"/>
          </w:tcPr>
          <w:p>
            <w:pPr>
              <w:spacing w:after="40"/>
            </w:pPr>
            <w:r/>
            <w:r>
              <w:rPr>
                <w:b w:val="0"/>
                <w:i w:val="0"/>
                <w:sz w:val="18"/>
              </w:rPr>
              <w:t>DHIS2, CommCare</w:t>
            </w:r>
          </w:p>
        </w:tc>
        <w:tc>
          <w:tcPr>
            <w:tcW w:type="dxa" w:w="4195"/>
          </w:tcPr>
          <w:p>
            <w:pPr>
              <w:spacing w:after="40"/>
            </w:pPr>
            <w:r/>
            <w:r>
              <w:rPr>
                <w:b w:val="0"/>
                <w:i w:val="0"/>
                <w:sz w:val="18"/>
              </w:rPr>
              <w:t>None holds; a reporting officer; national alignment</w:t>
            </w:r>
          </w:p>
        </w:tc>
      </w:tr>
      <w:tr>
        <w:tc>
          <w:tcPr>
            <w:tcW w:type="dxa" w:w="794"/>
          </w:tcPr>
          <w:p>
            <w:pPr>
              <w:spacing w:after="40"/>
            </w:pPr>
            <w:r/>
            <w:r>
              <w:rPr>
                <w:b w:val="0"/>
                <w:i w:val="0"/>
                <w:sz w:val="18"/>
              </w:rPr>
              <w:t>3</w:t>
            </w:r>
          </w:p>
        </w:tc>
        <w:tc>
          <w:tcPr>
            <w:tcW w:type="dxa" w:w="2835"/>
          </w:tcPr>
          <w:p>
            <w:pPr>
              <w:spacing w:after="40"/>
            </w:pPr>
            <w:r/>
            <w:r>
              <w:rPr>
                <w:b w:val="0"/>
                <w:i w:val="0"/>
                <w:sz w:val="18"/>
              </w:rPr>
              <w:t>Clinical record</w:t>
            </w:r>
          </w:p>
        </w:tc>
        <w:tc>
          <w:tcPr>
            <w:tcW w:type="dxa" w:w="2041"/>
          </w:tcPr>
          <w:p>
            <w:pPr>
              <w:spacing w:after="40"/>
            </w:pPr>
            <w:r/>
            <w:r>
              <w:rPr>
                <w:b w:val="0"/>
                <w:i w:val="0"/>
                <w:sz w:val="18"/>
              </w:rPr>
              <w:t>OpenMRS</w:t>
            </w:r>
          </w:p>
        </w:tc>
        <w:tc>
          <w:tcPr>
            <w:tcW w:type="dxa" w:w="4195"/>
          </w:tcPr>
          <w:p>
            <w:pPr>
              <w:spacing w:after="40"/>
            </w:pPr>
            <w:r/>
            <w:r>
              <w:rPr>
                <w:b w:val="0"/>
                <w:i w:val="0"/>
                <w:sz w:val="18"/>
              </w:rPr>
              <w:t>Conditions 1 and 2 hold</w:t>
            </w:r>
          </w:p>
        </w:tc>
      </w:tr>
      <w:tr>
        <w:tc>
          <w:tcPr>
            <w:tcW w:type="dxa" w:w="794"/>
          </w:tcPr>
          <w:p>
            <w:pPr>
              <w:spacing w:after="40"/>
            </w:pPr>
            <w:r/>
            <w:r>
              <w:rPr>
                <w:b w:val="0"/>
                <w:i w:val="0"/>
                <w:sz w:val="18"/>
              </w:rPr>
              <w:t>4</w:t>
            </w:r>
          </w:p>
        </w:tc>
        <w:tc>
          <w:tcPr>
            <w:tcW w:type="dxa" w:w="2835"/>
          </w:tcPr>
          <w:p>
            <w:pPr>
              <w:spacing w:after="40"/>
            </w:pPr>
            <w:r/>
            <w:r>
              <w:rPr>
                <w:b w:val="0"/>
                <w:i w:val="0"/>
                <w:sz w:val="18"/>
              </w:rPr>
              <w:t>Full HIS — clinical, lab, pharmacy, billing</w:t>
            </w:r>
          </w:p>
        </w:tc>
        <w:tc>
          <w:tcPr>
            <w:tcW w:type="dxa" w:w="2041"/>
          </w:tcPr>
          <w:p>
            <w:pPr>
              <w:spacing w:after="40"/>
            </w:pPr>
            <w:r/>
            <w:r>
              <w:rPr>
                <w:b w:val="0"/>
                <w:i w:val="0"/>
                <w:sz w:val="18"/>
              </w:rPr>
              <w:t>Bahmni, GNU Health</w:t>
            </w:r>
          </w:p>
        </w:tc>
        <w:tc>
          <w:tcPr>
            <w:tcW w:type="dxa" w:w="4195"/>
          </w:tcPr>
          <w:p>
            <w:pPr>
              <w:spacing w:after="40"/>
            </w:pPr>
            <w:r/>
            <w:r>
              <w:rPr>
                <w:b w:val="0"/>
                <w:i w:val="0"/>
                <w:sz w:val="18"/>
              </w:rPr>
              <w:t>All four hold — then phase by phase</w:t>
            </w:r>
          </w:p>
        </w:tc>
      </w:tr>
    </w:tbl>
    <w:p>
      <w:pPr>
        <w:spacing w:after="40"/>
      </w:pPr>
    </w:p>
    <w:p>
      <w:pPr>
        <w:spacing w:before="160" w:after="60"/>
      </w:pPr>
      <w:r>
        <w:rPr>
          <w:b/>
          <w:color w:val="0B3583"/>
          <w:sz w:val="23"/>
        </w:rPr>
        <w:t>3. Decision</w:t>
      </w:r>
    </w:p>
    <w:tbl>
      <w:tblPr>
        <w:tblStyle w:val="TableGrid"/>
        <w:tblW w:type="auto" w:w="0"/>
        <w:tblLook w:firstColumn="1" w:firstRow="1" w:lastColumn="0" w:lastRow="0" w:noHBand="0" w:noVBand="1" w:val="04A0"/>
      </w:tblPr>
      <w:tblGrid>
        <w:gridCol w:w="2466"/>
        <w:gridCol w:w="2466"/>
        <w:gridCol w:w="2466"/>
        <w:gridCol w:w="2466"/>
      </w:tblGrid>
      <w:tr>
        <w:tc>
          <w:tcPr>
            <w:tcW w:type="dxa" w:w="3402"/>
            <w:shd w:val="clear" w:color="auto" w:fill="EEF2F7"/>
          </w:tcPr>
          <w:p>
            <w:pPr>
              <w:spacing w:after="40"/>
            </w:pPr>
            <w:r/>
            <w:r>
              <w:rPr>
                <w:b/>
                <w:i w:val="0"/>
                <w:color w:val="5A6672"/>
                <w:sz w:val="17"/>
              </w:rPr>
              <w:t>Level chosen (1–4, or 'do not deploy')</w:t>
            </w:r>
          </w:p>
        </w:tc>
        <w:tc>
          <w:tcPr>
            <w:tcW w:type="dxa" w:w="1701"/>
            <w:shd w:val="clear" w:color="auto" w:fill="EEF2F7"/>
          </w:tcPr>
          <w:p>
            <w:pPr>
              <w:spacing w:after="40"/>
            </w:pPr>
            <w:r/>
            <w:r>
              <w:rPr>
                <w:b/>
                <w:i w:val="0"/>
                <w:color w:val="5A6672"/>
                <w:sz w:val="17"/>
              </w:rPr>
              <w:t>B-1 total score</w:t>
            </w:r>
          </w:p>
        </w:tc>
        <w:tc>
          <w:tcPr>
            <w:tcW w:type="dxa" w:w="3061"/>
            <w:shd w:val="clear" w:color="auto" w:fill="EEF2F7"/>
          </w:tcPr>
          <w:p>
            <w:pPr>
              <w:spacing w:after="40"/>
            </w:pPr>
            <w:r/>
            <w:r>
              <w:rPr>
                <w:b/>
                <w:i w:val="0"/>
                <w:color w:val="5A6672"/>
                <w:sz w:val="17"/>
              </w:rPr>
              <w:t>Decided by (names)</w:t>
            </w:r>
          </w:p>
        </w:tc>
        <w:tc>
          <w:tcPr>
            <w:tcW w:type="dxa" w:w="1701"/>
            <w:shd w:val="clear" w:color="auto" w:fill="EEF2F7"/>
          </w:tcPr>
          <w:p>
            <w:pPr>
              <w:spacing w:after="40"/>
            </w:pPr>
            <w:r/>
            <w:r>
              <w:rPr>
                <w:b/>
                <w:i w:val="0"/>
                <w:color w:val="5A6672"/>
                <w:sz w:val="17"/>
              </w:rPr>
              <w:t>Date</w:t>
            </w:r>
          </w:p>
        </w:tc>
      </w:tr>
      <w:tr>
        <w:tc>
          <w:tcPr>
            <w:tcW w:type="dxa" w:w="3402"/>
          </w:tcPr>
          <w:p>
            <w:pPr>
              <w:spacing w:after="40"/>
            </w:pPr>
            <w:r/>
            <w:r>
              <w:rPr>
                <w:b w:val="0"/>
                <w:i w:val="0"/>
                <w:sz w:val="18"/>
              </w:rPr>
            </w:r>
          </w:p>
        </w:tc>
        <w:tc>
          <w:tcPr>
            <w:tcW w:type="dxa" w:w="1701"/>
          </w:tcPr>
          <w:p>
            <w:pPr>
              <w:spacing w:after="40"/>
            </w:pPr>
            <w:r/>
            <w:r>
              <w:rPr>
                <w:b w:val="0"/>
                <w:i w:val="0"/>
                <w:sz w:val="18"/>
              </w:rPr>
            </w:r>
          </w:p>
        </w:tc>
        <w:tc>
          <w:tcPr>
            <w:tcW w:type="dxa" w:w="3061"/>
          </w:tcPr>
          <w:p>
            <w:pPr>
              <w:spacing w:after="40"/>
            </w:pPr>
            <w:r/>
            <w:r>
              <w:rPr>
                <w:b w:val="0"/>
                <w:i w:val="0"/>
                <w:sz w:val="18"/>
              </w:rPr>
            </w:r>
          </w:p>
        </w:tc>
        <w:tc>
          <w:tcPr>
            <w:tcW w:type="dxa" w:w="1701"/>
          </w:tcPr>
          <w:p>
            <w:pPr>
              <w:spacing w:after="40"/>
            </w:pPr>
            <w:r/>
            <w:r>
              <w:rPr>
                <w:b w:val="0"/>
                <w:i w:val="0"/>
                <w:sz w:val="18"/>
              </w:rPr>
            </w:r>
          </w:p>
        </w:tc>
      </w:tr>
    </w:tbl>
    <w:p>
      <w:pPr>
        <w:spacing w:after="40"/>
      </w:pPr>
    </w:p>
    <w:p>
      <w:pPr>
        <w:spacing w:after="20"/>
      </w:pPr>
      <w:r>
        <w:rPr>
          <w:b/>
          <w:sz w:val="19"/>
        </w:rPr>
        <w:t>Justification — why this level and not the one above:</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p>
    <w:p>
      <w:pPr>
        <w:spacing w:after="20"/>
      </w:pPr>
      <w:r>
        <w:rPr>
          <w:b/>
          <w:sz w:val="19"/>
        </w:rPr>
        <w:t>If we deploy below what was hoped: what has to become true for next year's answer to be higher?</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p>
    <w:p>
      <w:pPr>
        <w:spacing w:after="80"/>
      </w:pPr>
      <w:r>
        <w:rPr>
          <w:i/>
          <w:color w:val="5A6672"/>
          <w:sz w:val="17"/>
        </w:rPr>
        <w:t>That last line is a prediction with a date on it. Next year's team is asked whether it came true — so write something that can be checked.</w:t>
      </w:r>
    </w:p>
    <w:p>
      <w:pPr>
        <w:spacing w:before="160" w:after="60"/>
      </w:pPr>
      <w:r>
        <w:rPr>
          <w:b/>
          <w:color w:val="0B3583"/>
          <w:sz w:val="23"/>
        </w:rPr>
        <w:t>4. Stop-rule override — complete this ONLY if a condition needed for the chosen level does NOT hold and you are deploying anyway</w:t>
      </w:r>
    </w:p>
    <w:p>
      <w:pPr>
        <w:spacing w:after="80"/>
      </w:pPr>
      <w:r>
        <w:rPr>
          <w:i/>
          <w:color w:val="5A6672"/>
          <w:sz w:val="17"/>
        </w:rPr>
        <w:t>This is the most important section on the form. In 2026 at Lunsar a level-4 system was deployed before protected power had been verified in every unit, by careful engineers with reasons that were never written down. An override is sometimes right. An unrecorded override is how a decision becomes invisible to everyone who comes after.</w:t>
      </w:r>
    </w:p>
    <w:tbl>
      <w:tblPr>
        <w:tblStyle w:val="TableGrid"/>
        <w:tblW w:type="auto" w:w="0"/>
        <w:tblLook w:firstColumn="1" w:firstRow="1" w:lastColumn="0" w:lastRow="0" w:noHBand="0" w:noVBand="1" w:val="04A0"/>
      </w:tblPr>
      <w:tblGrid>
        <w:gridCol w:w="2466"/>
        <w:gridCol w:w="2466"/>
        <w:gridCol w:w="2466"/>
        <w:gridCol w:w="2466"/>
      </w:tblGrid>
      <w:tr>
        <w:tc>
          <w:tcPr>
            <w:tcW w:type="dxa" w:w="3402"/>
            <w:shd w:val="clear" w:color="auto" w:fill="EEF2F7"/>
          </w:tcPr>
          <w:p>
            <w:pPr>
              <w:spacing w:after="40"/>
            </w:pPr>
            <w:r/>
            <w:r>
              <w:rPr>
                <w:b/>
                <w:i w:val="0"/>
                <w:color w:val="5A6672"/>
                <w:sz w:val="17"/>
              </w:rPr>
              <w:t>Which conditions did not hold</w:t>
            </w:r>
          </w:p>
        </w:tc>
        <w:tc>
          <w:tcPr>
            <w:tcW w:type="dxa" w:w="1474"/>
            <w:shd w:val="clear" w:color="auto" w:fill="EEF2F7"/>
          </w:tcPr>
          <w:p>
            <w:pPr>
              <w:spacing w:after="40"/>
            </w:pPr>
            <w:r/>
            <w:r>
              <w:rPr>
                <w:b/>
                <w:i w:val="0"/>
                <w:color w:val="5A6672"/>
                <w:sz w:val="17"/>
              </w:rPr>
              <w:t>Deploying anyway?</w:t>
            </w:r>
          </w:p>
        </w:tc>
        <w:tc>
          <w:tcPr>
            <w:tcW w:type="dxa" w:w="3061"/>
            <w:shd w:val="clear" w:color="auto" w:fill="EEF2F7"/>
          </w:tcPr>
          <w:p>
            <w:pPr>
              <w:spacing w:after="40"/>
            </w:pPr>
            <w:r/>
            <w:r>
              <w:rPr>
                <w:b/>
                <w:i w:val="0"/>
                <w:color w:val="5A6672"/>
                <w:sz w:val="17"/>
              </w:rPr>
              <w:t>Decided by (names, roles)</w:t>
            </w:r>
          </w:p>
        </w:tc>
        <w:tc>
          <w:tcPr>
            <w:tcW w:type="dxa" w:w="1928"/>
            <w:shd w:val="clear" w:color="auto" w:fill="EEF2F7"/>
          </w:tcPr>
          <w:p>
            <w:pPr>
              <w:spacing w:after="40"/>
            </w:pPr>
            <w:r/>
            <w:r>
              <w:rPr>
                <w:b/>
                <w:i w:val="0"/>
                <w:color w:val="5A6672"/>
                <w:sz w:val="17"/>
              </w:rPr>
              <w:t>Date</w:t>
            </w:r>
          </w:p>
        </w:tc>
      </w:tr>
      <w:tr>
        <w:tc>
          <w:tcPr>
            <w:tcW w:type="dxa" w:w="3402"/>
          </w:tcPr>
          <w:p>
            <w:pPr>
              <w:spacing w:after="40"/>
            </w:pPr>
            <w:r/>
            <w:r>
              <w:rPr>
                <w:b w:val="0"/>
                <w:i w:val="0"/>
                <w:sz w:val="18"/>
              </w:rPr>
            </w:r>
          </w:p>
        </w:tc>
        <w:tc>
          <w:tcPr>
            <w:tcW w:type="dxa" w:w="1474"/>
          </w:tcPr>
          <w:p>
            <w:pPr>
              <w:spacing w:after="40"/>
            </w:pPr>
            <w:r/>
            <w:r>
              <w:rPr>
                <w:b w:val="0"/>
                <w:i w:val="0"/>
                <w:sz w:val="18"/>
              </w:rPr>
              <w:t>Yes / No</w:t>
            </w:r>
          </w:p>
        </w:tc>
        <w:tc>
          <w:tcPr>
            <w:tcW w:type="dxa" w:w="3061"/>
          </w:tcPr>
          <w:p>
            <w:pPr>
              <w:spacing w:after="40"/>
            </w:pPr>
            <w:r/>
            <w:r>
              <w:rPr>
                <w:b w:val="0"/>
                <w:i w:val="0"/>
                <w:sz w:val="18"/>
              </w:rPr>
            </w:r>
          </w:p>
        </w:tc>
        <w:tc>
          <w:tcPr>
            <w:tcW w:type="dxa" w:w="1928"/>
          </w:tcPr>
          <w:p>
            <w:pPr>
              <w:spacing w:after="40"/>
            </w:pPr>
            <w:r/>
            <w:r>
              <w:rPr>
                <w:b w:val="0"/>
                <w:i w:val="0"/>
                <w:sz w:val="18"/>
              </w:rPr>
            </w:r>
          </w:p>
        </w:tc>
      </w:tr>
    </w:tbl>
    <w:p>
      <w:pPr>
        <w:spacing w:after="40"/>
      </w:pPr>
    </w:p>
    <w:p>
      <w:pPr>
        <w:spacing w:after="20"/>
      </w:pPr>
      <w:r>
        <w:rPr>
          <w:b/>
          <w:sz w:val="19"/>
        </w:rPr>
        <w:t>On what grounds — the actual reasoning, not the conclusion:</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p>
    <w:p>
      <w:pPr>
        <w:spacing w:after="20"/>
      </w:pPr>
      <w:r>
        <w:rPr>
          <w:b/>
          <w:sz w:val="19"/>
        </w:rPr>
        <w:t>What is being put in place to compensate, and who is accountable for it:</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p>
    <w:p>
      <w:pPr>
        <w:spacing w:after="20"/>
      </w:pPr>
      <w:r>
        <w:rPr>
          <w:b/>
          <w:sz w:val="19"/>
        </w:rPr>
        <w:t>What would have to be true for us to reverse this decision, and who reviews it:</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r>
        <w:rPr>
          <w:color w:val="BBBBBB"/>
          <w:sz w:val="18"/>
        </w:rPr>
        <w:t>____________________________________________________________________________________________</w:t>
      </w:r>
    </w:p>
    <w:p>
      <w:pPr>
        <w:spacing w:after="20"/>
      </w:pP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2"/>
        <w:sz w:val="16"/>
      </w:rPr>
      <w:t>Handbook v0.5  ·  B-2  ·  Record the handbook version in your closure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