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Case: Customer Support Knowledge Base Modernization</w:t>
      </w:r>
    </w:p>
    <w:p>
      <w:pPr>
        <w:jc w:val="center"/>
      </w:pPr>
      <w:r>
        <w:t>Decision document for approval, prioritization, funding, or governance review</w:t>
      </w:r>
    </w:p>
    <w:p>
      <w:pPr>
        <w:pStyle w:val="Heading1"/>
      </w:pPr>
      <w:r>
        <w:t>1. Executive Summary</w:t>
      </w:r>
    </w:p>
    <w:p>
      <w:r>
        <w:t>Support agents rely on fragmented, outdated, and inconsistently governed knowledge sources, increasing handle time, rework, and customer frustration. Leaders need a decision on whether to invest in a governed knowledge base modernization effort before committing implementation funding.</w:t>
        <w:br/>
        <w:br/>
        <w:t>The recommended path is: Approve a 6-week discovery phase for a governed knowledge base modernization effort, with a follow-on implementation business case after validating content inventory, ownership model, integration needs, costs, and measurable benefits.</w:t>
        <w:br/>
        <w:br/>
        <w:t>The requested action is: Approve a 6-week discovery phase and authorize preparation of a full implementation funding request after discovery validates scope, cost, and integration assumptions..</w:t>
      </w:r>
    </w:p>
    <w:p>
      <w:pPr>
        <w:pStyle w:val="Heading1"/>
      </w:pPr>
      <w:r>
        <w:t>2. Decision Request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Pr>
                <w:b/>
                <w:sz w:val="17"/>
              </w:rPr>
              <w:t>Field</w:t>
            </w:r>
          </w:p>
        </w:tc>
        <w:tc>
          <w:tcPr>
            <w:tcW w:type="dxa" w:w="5184"/>
            <w:vAlign w:val="top"/>
            <w:shd w:fill="D9EAF7"/>
          </w:tcPr>
          <w:p>
            <w:r>
              <w:rPr>
                <w:b/>
                <w:sz w:val="17"/>
              </w:rPr>
              <w:t>Detail</w:t>
            </w:r>
          </w:p>
        </w:tc>
      </w:tr>
      <w:tr>
        <w:tc>
          <w:tcPr>
            <w:tcW w:type="dxa" w:w="5184"/>
            <w:vAlign w:val="top"/>
          </w:tcPr>
          <w:p>
            <w:r>
              <w:rPr>
                <w:sz w:val="17"/>
              </w:rPr>
              <w:t>Decision needed</w:t>
            </w:r>
          </w:p>
        </w:tc>
        <w:tc>
          <w:tcPr>
            <w:tcW w:type="dxa" w:w="5184"/>
            <w:vAlign w:val="top"/>
          </w:tcPr>
          <w:p>
            <w:r>
              <w:rPr>
                <w:sz w:val="17"/>
              </w:rPr>
              <w:t>Approve discovery funding and portfolio priority for modernizing the customer support knowledge base and related content governance model.</w:t>
            </w:r>
          </w:p>
        </w:tc>
      </w:tr>
      <w:tr>
        <w:tc>
          <w:tcPr>
            <w:tcW w:type="dxa" w:w="5184"/>
            <w:vAlign w:val="top"/>
          </w:tcPr>
          <w:p>
            <w:r>
              <w:rPr>
                <w:sz w:val="17"/>
              </w:rPr>
              <w:t>Decision owner/body</w:t>
            </w:r>
          </w:p>
        </w:tc>
        <w:tc>
          <w:tcPr>
            <w:tcW w:type="dxa" w:w="5184"/>
            <w:vAlign w:val="top"/>
          </w:tcPr>
          <w:p>
            <w:r>
              <w:rPr>
                <w:sz w:val="17"/>
              </w:rPr>
              <w:t>Customer Operations leadership team with Finance and Technology review.</w:t>
            </w:r>
          </w:p>
        </w:tc>
      </w:tr>
      <w:tr>
        <w:tc>
          <w:tcPr>
            <w:tcW w:type="dxa" w:w="5184"/>
            <w:vAlign w:val="top"/>
          </w:tcPr>
          <w:p>
            <w:r>
              <w:rPr>
                <w:sz w:val="17"/>
              </w:rPr>
              <w:t>Requested action</w:t>
            </w:r>
          </w:p>
        </w:tc>
        <w:tc>
          <w:tcPr>
            <w:tcW w:type="dxa" w:w="5184"/>
            <w:vAlign w:val="top"/>
          </w:tcPr>
          <w:p>
            <w:r>
              <w:rPr>
                <w:sz w:val="17"/>
              </w:rPr>
              <w:t>Approve a 6-week discovery phase and authorize preparation of a full implementation funding request after discovery validates scope, cost, and integration assumptions.</w:t>
            </w:r>
          </w:p>
        </w:tc>
      </w:tr>
      <w:tr>
        <w:tc>
          <w:tcPr>
            <w:tcW w:type="dxa" w:w="5184"/>
            <w:vAlign w:val="top"/>
          </w:tcPr>
          <w:p>
            <w:r>
              <w:rPr>
                <w:sz w:val="17"/>
              </w:rPr>
              <w:t>Timing</w:t>
            </w:r>
          </w:p>
        </w:tc>
        <w:tc>
          <w:tcPr>
            <w:tcW w:type="dxa" w:w="5184"/>
            <w:vAlign w:val="top"/>
          </w:tcPr>
          <w:p>
            <w:r>
              <w:rPr>
                <w:sz w:val="17"/>
              </w:rPr>
              <w:t>Current quarter planning cycle.</w:t>
            </w:r>
          </w:p>
        </w:tc>
      </w:tr>
      <w:tr>
        <w:tc>
          <w:tcPr>
            <w:tcW w:type="dxa" w:w="5184"/>
            <w:vAlign w:val="top"/>
          </w:tcPr>
          <w:p>
            <w:r>
              <w:rPr>
                <w:sz w:val="17"/>
              </w:rPr>
              <w:t>Maturity score</w:t>
            </w:r>
          </w:p>
        </w:tc>
        <w:tc>
          <w:tcPr>
            <w:tcW w:type="dxa" w:w="5184"/>
            <w:vAlign w:val="top"/>
          </w:tcPr>
          <w:p>
            <w:r>
              <w:rPr>
                <w:sz w:val="17"/>
              </w:rPr>
              <w:t>56/60 - Decision-ready with caveats.</w:t>
            </w:r>
          </w:p>
        </w:tc>
      </w:tr>
    </w:tbl>
    <w:p>
      <w:pPr>
        <w:pStyle w:val="Heading1"/>
      </w:pPr>
      <w:r>
        <w:t>3. Problem or Opportunity Statement</w:t>
      </w:r>
    </w:p>
    <w:p>
      <w:r>
        <w:t>Support agents rely on fragmented, outdated, and inconsistently governed knowledge sources, increasing handle time, rework, and customer frustration. Leaders need a decision on whether to invest in a governed knowledge base modernization effort before committing implementation funding.</w:t>
      </w:r>
    </w:p>
    <w:p>
      <w:pPr>
        <w:pStyle w:val="Heading1"/>
      </w:pPr>
      <w:r>
        <w:t>4. Strategic Alignment</w:t>
      </w:r>
    </w:p>
    <w:p>
      <w:r>
        <w:t>The initiative supports operational efficiency, improved customer experience, faster onboarding, and lower support burden. It also creates a better foundation for automation and AI-assisted support without assuming automation benefits before content quality is improved.</w:t>
      </w:r>
    </w:p>
    <w:p>
      <w:pPr>
        <w:pStyle w:val="Heading1"/>
      </w:pPr>
      <w:r>
        <w:t>5. Current State and Gap Analysis</w:t>
      </w:r>
    </w:p>
    <w:p>
      <w:pPr>
        <w:pStyle w:val="Heading2"/>
      </w:pPr>
      <w:r>
        <w:t>Current State</w:t>
      </w:r>
    </w:p>
    <w:p>
      <w:r>
        <w:t>Knowledge content exists across shared drives, wiki pages, ticket macros, and individual team notes. Ownership is unclear. Updates are inconsistent. Agents often escalate or search multiple sources before answering common issues.</w:t>
      </w:r>
    </w:p>
    <w:p>
      <w:pPr>
        <w:pStyle w:val="Heading2"/>
      </w:pPr>
      <w:r>
        <w:t>Gap Analysis</w:t>
      </w:r>
    </w:p>
    <w:p>
      <w:r>
        <w:t>The organization lacks a single governed knowledge source, content ownership model, quality review cadence, and measurement approach for content usage and deflection. The gap is not only tooling; it includes governance, process, and accountability.</w:t>
      </w:r>
    </w:p>
    <w:p>
      <w:pPr>
        <w:pStyle w:val="Heading2"/>
      </w:pPr>
      <w:r>
        <w:t>Desired Future State</w:t>
      </w:r>
    </w:p>
    <w:p>
      <w:r>
        <w:t>Support teams use a governed knowledge base with accountable content owners, standard article formats, review cadences, usage analytics, and integration points for support workflow and future AI assistance.</w:t>
      </w:r>
    </w:p>
    <w:p>
      <w:pPr>
        <w:pStyle w:val="Heading1"/>
      </w:pPr>
      <w:r>
        <w:t>6. Options Analysis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r>
              <w:rPr>
                <w:b/>
                <w:sz w:val="17"/>
              </w:rPr>
              <w:t>Option</w:t>
            </w:r>
          </w:p>
        </w:tc>
        <w:tc>
          <w:tcPr>
            <w:tcW w:type="dxa" w:w="2074"/>
            <w:vAlign w:val="top"/>
            <w:shd w:fill="D9EAF7"/>
          </w:tcPr>
          <w:p>
            <w:r>
              <w:rPr>
                <w:b/>
                <w:sz w:val="17"/>
              </w:rPr>
              <w:t>Description</w:t>
            </w:r>
          </w:p>
        </w:tc>
        <w:tc>
          <w:tcPr>
            <w:tcW w:type="dxa" w:w="2074"/>
            <w:vAlign w:val="top"/>
            <w:shd w:fill="D9EAF7"/>
          </w:tcPr>
          <w:p>
            <w:r>
              <w:rPr>
                <w:b/>
                <w:sz w:val="17"/>
              </w:rPr>
              <w:t>Advantages</w:t>
            </w:r>
          </w:p>
        </w:tc>
        <w:tc>
          <w:tcPr>
            <w:tcW w:type="dxa" w:w="2074"/>
            <w:vAlign w:val="top"/>
            <w:shd w:fill="D9EAF7"/>
          </w:tcPr>
          <w:p>
            <w:r>
              <w:rPr>
                <w:b/>
                <w:sz w:val="17"/>
              </w:rPr>
              <w:t>Disadvantages</w:t>
            </w:r>
          </w:p>
        </w:tc>
        <w:tc>
          <w:tcPr>
            <w:tcW w:type="dxa" w:w="2074"/>
            <w:vAlign w:val="top"/>
            <w:shd w:fill="D9EAF7"/>
          </w:tcPr>
          <w:p>
            <w:r>
              <w:rPr>
                <w:b/>
                <w:sz w:val="17"/>
              </w:rPr>
              <w:t>Decision Notes</w:t>
            </w:r>
          </w:p>
        </w:tc>
      </w:tr>
      <w:tr>
        <w:tc>
          <w:tcPr>
            <w:tcW w:type="dxa" w:w="2074"/>
            <w:vAlign w:val="top"/>
          </w:tcPr>
          <w:p>
            <w:r>
              <w:rPr>
                <w:sz w:val="17"/>
              </w:rPr>
              <w:t>Do nothing</w:t>
            </w:r>
          </w:p>
        </w:tc>
        <w:tc>
          <w:tcPr>
            <w:tcW w:type="dxa" w:w="2074"/>
            <w:vAlign w:val="top"/>
          </w:tcPr>
          <w:p>
            <w:r>
              <w:rPr>
                <w:sz w:val="17"/>
              </w:rPr>
              <w:t>Maintain the current mix of shared drives, wiki pages, macros, and team notes.</w:t>
            </w:r>
          </w:p>
        </w:tc>
        <w:tc>
          <w:tcPr>
            <w:tcW w:type="dxa" w:w="2074"/>
            <w:vAlign w:val="top"/>
          </w:tcPr>
          <w:p>
            <w:r>
              <w:rPr>
                <w:sz w:val="17"/>
              </w:rPr>
              <w:t>No near-term spend; No delivery disruption</w:t>
            </w:r>
          </w:p>
        </w:tc>
        <w:tc>
          <w:tcPr>
            <w:tcW w:type="dxa" w:w="2074"/>
            <w:vAlign w:val="top"/>
          </w:tcPr>
          <w:p>
            <w:r>
              <w:rPr>
                <w:sz w:val="17"/>
              </w:rPr>
              <w:t>Current inefficiency remains; Knowledge quality remains inconsistent; Future automation remains constrained</w:t>
            </w:r>
          </w:p>
        </w:tc>
        <w:tc>
          <w:tcPr>
            <w:tcW w:type="dxa" w:w="2074"/>
            <w:vAlign w:val="top"/>
          </w:tcPr>
          <w:p>
            <w:r>
              <w:rPr>
                <w:sz w:val="17"/>
              </w:rPr>
              <w:t>Useful as a baseline but does not address the operating problem.</w:t>
            </w:r>
          </w:p>
        </w:tc>
      </w:tr>
      <w:tr>
        <w:tc>
          <w:tcPr>
            <w:tcW w:type="dxa" w:w="2074"/>
            <w:vAlign w:val="top"/>
          </w:tcPr>
          <w:p>
            <w:r>
              <w:rPr>
                <w:sz w:val="17"/>
              </w:rPr>
              <w:t>Tool-only replacement</w:t>
            </w:r>
          </w:p>
        </w:tc>
        <w:tc>
          <w:tcPr>
            <w:tcW w:type="dxa" w:w="2074"/>
            <w:vAlign w:val="top"/>
          </w:tcPr>
          <w:p>
            <w:r>
              <w:rPr>
                <w:sz w:val="17"/>
              </w:rPr>
              <w:t>Select a new knowledge tool and migrate content with limited governance redesign.</w:t>
            </w:r>
          </w:p>
        </w:tc>
        <w:tc>
          <w:tcPr>
            <w:tcW w:type="dxa" w:w="2074"/>
            <w:vAlign w:val="top"/>
          </w:tcPr>
          <w:p>
            <w:r>
              <w:rPr>
                <w:sz w:val="17"/>
              </w:rPr>
              <w:t>Visible action; Potentially faster procurement path</w:t>
            </w:r>
          </w:p>
        </w:tc>
        <w:tc>
          <w:tcPr>
            <w:tcW w:type="dxa" w:w="2074"/>
            <w:vAlign w:val="top"/>
          </w:tcPr>
          <w:p>
            <w:r>
              <w:rPr>
                <w:sz w:val="17"/>
              </w:rPr>
              <w:t>May recreate current-state content quality problems; Weak accountability model; Benefits may be overstated</w:t>
            </w:r>
          </w:p>
        </w:tc>
        <w:tc>
          <w:tcPr>
            <w:tcW w:type="dxa" w:w="2074"/>
            <w:vAlign w:val="top"/>
          </w:tcPr>
          <w:p>
            <w:r>
              <w:rPr>
                <w:sz w:val="17"/>
              </w:rPr>
              <w:t>Not recommended without governance work.</w:t>
            </w:r>
          </w:p>
        </w:tc>
      </w:tr>
      <w:tr>
        <w:tc>
          <w:tcPr>
            <w:tcW w:type="dxa" w:w="2074"/>
            <w:vAlign w:val="top"/>
          </w:tcPr>
          <w:p>
            <w:r>
              <w:rPr>
                <w:sz w:val="17"/>
              </w:rPr>
              <w:t>Governed modernization</w:t>
            </w:r>
          </w:p>
        </w:tc>
        <w:tc>
          <w:tcPr>
            <w:tcW w:type="dxa" w:w="2074"/>
            <w:vAlign w:val="top"/>
          </w:tcPr>
          <w:p>
            <w:r>
              <w:rPr>
                <w:sz w:val="17"/>
              </w:rPr>
              <w:t>Run discovery, define content governance, validate tooling needs, then fund implementation in phases.</w:t>
            </w:r>
          </w:p>
        </w:tc>
        <w:tc>
          <w:tcPr>
            <w:tcW w:type="dxa" w:w="2074"/>
            <w:vAlign w:val="top"/>
          </w:tcPr>
          <w:p>
            <w:r>
              <w:rPr>
                <w:sz w:val="17"/>
              </w:rPr>
              <w:t>Addresses root operating problem; Improves investment confidence; Creates measurable governance baseline</w:t>
            </w:r>
          </w:p>
        </w:tc>
        <w:tc>
          <w:tcPr>
            <w:tcW w:type="dxa" w:w="2074"/>
            <w:vAlign w:val="top"/>
          </w:tcPr>
          <w:p>
            <w:r>
              <w:rPr>
                <w:sz w:val="17"/>
              </w:rPr>
              <w:t>Requires cross-functional effort; Benefits depend on adoption and content ownership</w:t>
            </w:r>
          </w:p>
        </w:tc>
        <w:tc>
          <w:tcPr>
            <w:tcW w:type="dxa" w:w="2074"/>
            <w:vAlign w:val="top"/>
          </w:tcPr>
          <w:p>
            <w:r>
              <w:rPr>
                <w:sz w:val="17"/>
              </w:rPr>
              <w:t>Recommended path.</w:t>
            </w:r>
          </w:p>
        </w:tc>
      </w:tr>
    </w:tbl>
    <w:p>
      <w:pPr>
        <w:pStyle w:val="Heading1"/>
      </w:pPr>
      <w:r>
        <w:t>7. Recommended Solution</w:t>
      </w:r>
    </w:p>
    <w:p>
      <w:r>
        <w:t>Approve a 6-week discovery phase for a governed knowledge base modernization effort, with a follow-on implementation business case after validating content inventory, ownership model, integration needs, costs, and measurable benefits.</w:t>
      </w:r>
    </w:p>
    <w:p>
      <w:pPr>
        <w:pStyle w:val="Heading1"/>
      </w:pPr>
      <w:r>
        <w:t>8. Benefits and Value Case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b/>
                <w:sz w:val="17"/>
              </w:rPr>
              <w:t>Benefit</w:t>
            </w:r>
          </w:p>
        </w:tc>
        <w:tc>
          <w:tcPr>
            <w:tcW w:type="dxa" w:w="2592"/>
            <w:vAlign w:val="top"/>
            <w:shd w:fill="D9EAF7"/>
          </w:tcPr>
          <w:p>
            <w:r>
              <w:rPr>
                <w:b/>
                <w:sz w:val="17"/>
              </w:rPr>
              <w:t>Type</w:t>
            </w:r>
          </w:p>
        </w:tc>
        <w:tc>
          <w:tcPr>
            <w:tcW w:type="dxa" w:w="2592"/>
            <w:vAlign w:val="top"/>
            <w:shd w:fill="D9EAF7"/>
          </w:tcPr>
          <w:p>
            <w:r>
              <w:rPr>
                <w:b/>
                <w:sz w:val="17"/>
              </w:rPr>
              <w:t>Evidence / Assumption</w:t>
            </w:r>
          </w:p>
        </w:tc>
        <w:tc>
          <w:tcPr>
            <w:tcW w:type="dxa" w:w="2592"/>
            <w:vAlign w:val="top"/>
            <w:shd w:fill="D9EAF7"/>
          </w:tcPr>
          <w:p>
            <w:r>
              <w:rPr>
                <w:b/>
                <w:sz w:val="17"/>
              </w:rPr>
              <w:t>Measurement Approach</w:t>
            </w:r>
          </w:p>
        </w:tc>
      </w:tr>
      <w:tr>
        <w:tc>
          <w:tcPr>
            <w:tcW w:type="dxa" w:w="2592"/>
            <w:vAlign w:val="top"/>
          </w:tcPr>
          <w:p>
            <w:r>
              <w:rPr>
                <w:sz w:val="17"/>
              </w:rPr>
              <w:t>Reduced agent search and rework</w:t>
            </w:r>
          </w:p>
        </w:tc>
        <w:tc>
          <w:tcPr>
            <w:tcW w:type="dxa" w:w="2592"/>
            <w:vAlign w:val="top"/>
          </w:tcPr>
          <w:p>
            <w:r>
              <w:rPr>
                <w:sz w:val="17"/>
              </w:rPr>
              <w:t>Productivity</w:t>
            </w:r>
          </w:p>
        </w:tc>
        <w:tc>
          <w:tcPr>
            <w:tcW w:type="dxa" w:w="2592"/>
            <w:vAlign w:val="top"/>
          </w:tcPr>
          <w:p>
            <w:r>
              <w:rPr>
                <w:sz w:val="17"/>
              </w:rPr>
              <w:t>Initial support-manager notes indicate agents search multiple sources; baseline measurement still required.</w:t>
            </w:r>
          </w:p>
        </w:tc>
        <w:tc>
          <w:tcPr>
            <w:tcW w:type="dxa" w:w="2592"/>
            <w:vAlign w:val="top"/>
          </w:tcPr>
          <w:p>
            <w:r>
              <w:rPr>
                <w:sz w:val="17"/>
              </w:rPr>
              <w:t>Measure average handle time, escalation rate, duplicate ticket handling, and article usage before and after implementation.</w:t>
            </w:r>
          </w:p>
        </w:tc>
      </w:tr>
      <w:tr>
        <w:tc>
          <w:tcPr>
            <w:tcW w:type="dxa" w:w="2592"/>
            <w:vAlign w:val="top"/>
          </w:tcPr>
          <w:p>
            <w:r>
              <w:rPr>
                <w:sz w:val="17"/>
              </w:rPr>
              <w:t>Improved content quality and accountability</w:t>
            </w:r>
          </w:p>
        </w:tc>
        <w:tc>
          <w:tcPr>
            <w:tcW w:type="dxa" w:w="2592"/>
            <w:vAlign w:val="top"/>
          </w:tcPr>
          <w:p>
            <w:r>
              <w:rPr>
                <w:sz w:val="17"/>
              </w:rPr>
              <w:t>Operating model</w:t>
            </w:r>
          </w:p>
        </w:tc>
        <w:tc>
          <w:tcPr>
            <w:tcW w:type="dxa" w:w="2592"/>
            <w:vAlign w:val="top"/>
          </w:tcPr>
          <w:p>
            <w:r>
              <w:rPr>
                <w:sz w:val="17"/>
              </w:rPr>
              <w:t>Current ownership is unclear across sources; discovery should validate ownership gaps.</w:t>
            </w:r>
          </w:p>
        </w:tc>
        <w:tc>
          <w:tcPr>
            <w:tcW w:type="dxa" w:w="2592"/>
            <w:vAlign w:val="top"/>
          </w:tcPr>
          <w:p>
            <w:r>
              <w:rPr>
                <w:sz w:val="17"/>
              </w:rPr>
              <w:t>Track article owner assignment, review currency, stale content, and content quality defects.</w:t>
            </w:r>
          </w:p>
        </w:tc>
      </w:tr>
      <w:tr>
        <w:tc>
          <w:tcPr>
            <w:tcW w:type="dxa" w:w="2592"/>
            <w:vAlign w:val="top"/>
          </w:tcPr>
          <w:p>
            <w:r>
              <w:rPr>
                <w:sz w:val="17"/>
              </w:rPr>
              <w:t>Better foundation for AI-assisted support</w:t>
            </w:r>
          </w:p>
        </w:tc>
        <w:tc>
          <w:tcPr>
            <w:tcW w:type="dxa" w:w="2592"/>
            <w:vAlign w:val="top"/>
          </w:tcPr>
          <w:p>
            <w:r>
              <w:rPr>
                <w:sz w:val="17"/>
              </w:rPr>
              <w:t>Strategic enablement</w:t>
            </w:r>
          </w:p>
        </w:tc>
        <w:tc>
          <w:tcPr>
            <w:tcW w:type="dxa" w:w="2592"/>
            <w:vAlign w:val="top"/>
          </w:tcPr>
          <w:p>
            <w:r>
              <w:rPr>
                <w:sz w:val="17"/>
              </w:rPr>
              <w:t>Assumption: governed content is prerequisite for reliable AI assistance.</w:t>
            </w:r>
          </w:p>
        </w:tc>
        <w:tc>
          <w:tcPr>
            <w:tcW w:type="dxa" w:w="2592"/>
            <w:vAlign w:val="top"/>
          </w:tcPr>
          <w:p>
            <w:r>
              <w:rPr>
                <w:sz w:val="17"/>
              </w:rPr>
              <w:t>Readiness score for content coverage, source trust, and review cadence.</w:t>
            </w:r>
          </w:p>
        </w:tc>
      </w:tr>
    </w:tbl>
    <w:p>
      <w:pPr>
        <w:pStyle w:val="Heading1"/>
      </w:pPr>
      <w:r>
        <w:t>9. Costs, Funding, and ROI Considerations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b/>
                <w:sz w:val="17"/>
              </w:rPr>
              <w:t>Cost Area</w:t>
            </w:r>
          </w:p>
        </w:tc>
        <w:tc>
          <w:tcPr>
            <w:tcW w:type="dxa" w:w="2592"/>
            <w:vAlign w:val="top"/>
            <w:shd w:fill="D9EAF7"/>
          </w:tcPr>
          <w:p>
            <w:r>
              <w:rPr>
                <w:b/>
                <w:sz w:val="17"/>
              </w:rPr>
              <w:t>Estimate</w:t>
            </w:r>
          </w:p>
        </w:tc>
        <w:tc>
          <w:tcPr>
            <w:tcW w:type="dxa" w:w="2592"/>
            <w:vAlign w:val="top"/>
            <w:shd w:fill="D9EAF7"/>
          </w:tcPr>
          <w:p>
            <w:r>
              <w:rPr>
                <w:b/>
                <w:sz w:val="17"/>
              </w:rPr>
              <w:t>One-time / Ongoing</w:t>
            </w:r>
          </w:p>
        </w:tc>
        <w:tc>
          <w:tcPr>
            <w:tcW w:type="dxa" w:w="2592"/>
            <w:vAlign w:val="top"/>
            <w:shd w:fill="D9EAF7"/>
          </w:tcPr>
          <w:p>
            <w:r>
              <w:rPr>
                <w:b/>
                <w:sz w:val="17"/>
              </w:rPr>
              <w:t>Notes</w:t>
            </w:r>
          </w:p>
        </w:tc>
      </w:tr>
      <w:tr>
        <w:tc>
          <w:tcPr>
            <w:tcW w:type="dxa" w:w="2592"/>
            <w:vAlign w:val="top"/>
          </w:tcPr>
          <w:p>
            <w:r>
              <w:rPr>
                <w:sz w:val="17"/>
              </w:rPr>
              <w:t>Discovery labor</w:t>
            </w:r>
          </w:p>
        </w:tc>
        <w:tc>
          <w:tcPr>
            <w:tcW w:type="dxa" w:w="2592"/>
            <w:vAlign w:val="top"/>
          </w:tcPr>
          <w:p>
            <w:r>
              <w:rPr>
                <w:sz w:val="17"/>
              </w:rPr>
              <w:t>TBD</w:t>
            </w:r>
          </w:p>
        </w:tc>
        <w:tc>
          <w:tcPr>
            <w:tcW w:type="dxa" w:w="2592"/>
            <w:vAlign w:val="top"/>
          </w:tcPr>
          <w:p>
            <w:r>
              <w:rPr>
                <w:sz w:val="17"/>
              </w:rPr>
              <w:t>One-time</w:t>
            </w:r>
          </w:p>
        </w:tc>
        <w:tc>
          <w:tcPr>
            <w:tcW w:type="dxa" w:w="2592"/>
            <w:vAlign w:val="top"/>
          </w:tcPr>
          <w:p>
            <w:r>
              <w:rPr>
                <w:sz w:val="17"/>
              </w:rPr>
              <w:t>Requires support operations, technology, finance, and content owner participation.</w:t>
            </w:r>
          </w:p>
        </w:tc>
      </w:tr>
      <w:tr>
        <w:tc>
          <w:tcPr>
            <w:tcW w:type="dxa" w:w="2592"/>
            <w:vAlign w:val="top"/>
          </w:tcPr>
          <w:p>
            <w:r>
              <w:rPr>
                <w:sz w:val="17"/>
              </w:rPr>
              <w:t>Knowledge platform / tooling</w:t>
            </w:r>
          </w:p>
        </w:tc>
        <w:tc>
          <w:tcPr>
            <w:tcW w:type="dxa" w:w="2592"/>
            <w:vAlign w:val="top"/>
          </w:tcPr>
          <w:p>
            <w:r>
              <w:rPr>
                <w:sz w:val="17"/>
              </w:rPr>
              <w:t>TBD</w:t>
            </w:r>
          </w:p>
        </w:tc>
        <w:tc>
          <w:tcPr>
            <w:tcW w:type="dxa" w:w="2592"/>
            <w:vAlign w:val="top"/>
          </w:tcPr>
          <w:p>
            <w:r>
              <w:rPr>
                <w:sz w:val="17"/>
              </w:rPr>
              <w:t>One-time and ongoing</w:t>
            </w:r>
          </w:p>
        </w:tc>
        <w:tc>
          <w:tcPr>
            <w:tcW w:type="dxa" w:w="2592"/>
            <w:vAlign w:val="top"/>
          </w:tcPr>
          <w:p>
            <w:r>
              <w:rPr>
                <w:sz w:val="17"/>
              </w:rPr>
              <w:t>Discovery should compare reuse of existing tools vs. new platform.</w:t>
            </w:r>
          </w:p>
        </w:tc>
      </w:tr>
      <w:tr>
        <w:tc>
          <w:tcPr>
            <w:tcW w:type="dxa" w:w="2592"/>
            <w:vAlign w:val="top"/>
          </w:tcPr>
          <w:p>
            <w:r>
              <w:rPr>
                <w:sz w:val="17"/>
              </w:rPr>
              <w:t>Content migration and governance setup</w:t>
            </w:r>
          </w:p>
        </w:tc>
        <w:tc>
          <w:tcPr>
            <w:tcW w:type="dxa" w:w="2592"/>
            <w:vAlign w:val="top"/>
          </w:tcPr>
          <w:p>
            <w:r>
              <w:rPr>
                <w:sz w:val="17"/>
              </w:rPr>
              <w:t>TBD</w:t>
            </w:r>
          </w:p>
        </w:tc>
        <w:tc>
          <w:tcPr>
            <w:tcW w:type="dxa" w:w="2592"/>
            <w:vAlign w:val="top"/>
          </w:tcPr>
          <w:p>
            <w:r>
              <w:rPr>
                <w:sz w:val="17"/>
              </w:rPr>
              <w:t>One-time</w:t>
            </w:r>
          </w:p>
        </w:tc>
        <w:tc>
          <w:tcPr>
            <w:tcW w:type="dxa" w:w="2592"/>
            <w:vAlign w:val="top"/>
          </w:tcPr>
          <w:p>
            <w:r>
              <w:rPr>
                <w:sz w:val="17"/>
              </w:rPr>
              <w:t>Likely major implementation cost driver.</w:t>
            </w:r>
          </w:p>
        </w:tc>
      </w:tr>
    </w:tbl>
    <w:p>
      <w:pPr>
        <w:pStyle w:val="Heading1"/>
      </w:pPr>
      <w:r>
        <w:t>10. Risks, Assumptions, and Constraints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b/>
                <w:sz w:val="17"/>
              </w:rPr>
              <w:t>Type</w:t>
            </w:r>
          </w:p>
        </w:tc>
        <w:tc>
          <w:tcPr>
            <w:tcW w:type="dxa" w:w="2592"/>
            <w:vAlign w:val="top"/>
            <w:shd w:fill="D9EAF7"/>
          </w:tcPr>
          <w:p>
            <w:r>
              <w:rPr>
                <w:b/>
                <w:sz w:val="17"/>
              </w:rPr>
              <w:t>Item</w:t>
            </w:r>
          </w:p>
        </w:tc>
        <w:tc>
          <w:tcPr>
            <w:tcW w:type="dxa" w:w="2592"/>
            <w:vAlign w:val="top"/>
            <w:shd w:fill="D9EAF7"/>
          </w:tcPr>
          <w:p>
            <w:r>
              <w:rPr>
                <w:b/>
                <w:sz w:val="17"/>
              </w:rPr>
              <w:t>Impact</w:t>
            </w:r>
          </w:p>
        </w:tc>
        <w:tc>
          <w:tcPr>
            <w:tcW w:type="dxa" w:w="2592"/>
            <w:vAlign w:val="top"/>
            <w:shd w:fill="D9EAF7"/>
          </w:tcPr>
          <w:p>
            <w:r>
              <w:rPr>
                <w:b/>
                <w:sz w:val="17"/>
              </w:rPr>
              <w:t>Mitigation / Validation</w:t>
            </w:r>
          </w:p>
        </w:tc>
      </w:tr>
      <w:tr>
        <w:tc>
          <w:tcPr>
            <w:tcW w:type="dxa" w:w="2592"/>
            <w:vAlign w:val="top"/>
          </w:tcPr>
          <w:p>
            <w:r>
              <w:rPr>
                <w:sz w:val="17"/>
              </w:rPr>
              <w:t>Risk</w:t>
            </w:r>
          </w:p>
        </w:tc>
        <w:tc>
          <w:tcPr>
            <w:tcW w:type="dxa" w:w="2592"/>
            <w:vAlign w:val="top"/>
          </w:tcPr>
          <w:p>
            <w:r>
              <w:rPr>
                <w:sz w:val="17"/>
              </w:rPr>
              <w:t>Tool selection before governance clarity</w:t>
            </w:r>
          </w:p>
        </w:tc>
        <w:tc>
          <w:tcPr>
            <w:tcW w:type="dxa" w:w="2592"/>
            <w:vAlign w:val="top"/>
          </w:tcPr>
          <w:p>
            <w:r>
              <w:rPr>
                <w:sz w:val="17"/>
              </w:rPr>
              <w:t>Could fund a platform that does not solve the root problem.</w:t>
            </w:r>
          </w:p>
        </w:tc>
        <w:tc>
          <w:tcPr>
            <w:tcW w:type="dxa" w:w="2592"/>
            <w:vAlign w:val="top"/>
          </w:tcPr>
          <w:p>
            <w:r>
              <w:rPr>
                <w:sz w:val="17"/>
              </w:rPr>
              <w:t>Require governance and content ownership design before implementation funding.</w:t>
            </w:r>
          </w:p>
        </w:tc>
      </w:tr>
      <w:tr>
        <w:tc>
          <w:tcPr>
            <w:tcW w:type="dxa" w:w="2592"/>
            <w:vAlign w:val="top"/>
          </w:tcPr>
          <w:p>
            <w:r>
              <w:rPr>
                <w:sz w:val="17"/>
              </w:rPr>
              <w:t>Risk</w:t>
            </w:r>
          </w:p>
        </w:tc>
        <w:tc>
          <w:tcPr>
            <w:tcW w:type="dxa" w:w="2592"/>
            <w:vAlign w:val="top"/>
          </w:tcPr>
          <w:p>
            <w:r>
              <w:rPr>
                <w:sz w:val="17"/>
              </w:rPr>
              <w:t>Weak adoption</w:t>
            </w:r>
          </w:p>
        </w:tc>
        <w:tc>
          <w:tcPr>
            <w:tcW w:type="dxa" w:w="2592"/>
            <w:vAlign w:val="top"/>
          </w:tcPr>
          <w:p>
            <w:r>
              <w:rPr>
                <w:sz w:val="17"/>
              </w:rPr>
              <w:t>Benefits may not materialize if agents continue using shadow sources.</w:t>
            </w:r>
          </w:p>
        </w:tc>
        <w:tc>
          <w:tcPr>
            <w:tcW w:type="dxa" w:w="2592"/>
            <w:vAlign w:val="top"/>
          </w:tcPr>
          <w:p>
            <w:r>
              <w:rPr>
                <w:sz w:val="17"/>
              </w:rPr>
              <w:t>Include training, search workflow integration, and leadership accountability.</w:t>
            </w:r>
          </w:p>
        </w:tc>
      </w:tr>
      <w:tr>
        <w:tc>
          <w:tcPr>
            <w:tcW w:type="dxa" w:w="2592"/>
            <w:vAlign w:val="top"/>
          </w:tcPr>
          <w:p>
            <w:r>
              <w:rPr>
                <w:sz w:val="17"/>
              </w:rPr>
              <w:t>Assumption</w:t>
            </w:r>
          </w:p>
        </w:tc>
        <w:tc>
          <w:tcPr>
            <w:tcW w:type="dxa" w:w="2592"/>
            <w:vAlign w:val="top"/>
          </w:tcPr>
          <w:p>
            <w:r>
              <w:rPr>
                <w:sz w:val="17"/>
              </w:rPr>
              <w:t>Current knowledge fragmentation materially affects support productivity.</w:t>
            </w:r>
          </w:p>
        </w:tc>
        <w:tc>
          <w:tcPr>
            <w:tcW w:type="dxa" w:w="2592"/>
            <w:vAlign w:val="top"/>
          </w:tcPr>
          <w:p>
            <w:r>
              <w:rPr>
                <w:sz w:val="17"/>
              </w:rPr>
              <w:t>Value case weakens if baseline data does not support productivity impact.</w:t>
            </w:r>
          </w:p>
        </w:tc>
        <w:tc>
          <w:tcPr>
            <w:tcW w:type="dxa" w:w="2592"/>
            <w:vAlign w:val="top"/>
          </w:tcPr>
          <w:p>
            <w:r>
              <w:rPr>
                <w:sz w:val="17"/>
              </w:rPr>
              <w:t>Measure handle time, escalation, and agent search behavior during discovery.</w:t>
            </w:r>
          </w:p>
        </w:tc>
      </w:tr>
      <w:tr>
        <w:tc>
          <w:tcPr>
            <w:tcW w:type="dxa" w:w="2592"/>
            <w:vAlign w:val="top"/>
          </w:tcPr>
          <w:p>
            <w:r>
              <w:rPr>
                <w:sz w:val="17"/>
              </w:rPr>
              <w:t>Constraint</w:t>
            </w:r>
          </w:p>
        </w:tc>
        <w:tc>
          <w:tcPr>
            <w:tcW w:type="dxa" w:w="2592"/>
            <w:vAlign w:val="top"/>
          </w:tcPr>
          <w:p>
            <w:r>
              <w:rPr>
                <w:sz w:val="17"/>
              </w:rPr>
              <w:t>Implementation funding is not yet approved.</w:t>
            </w:r>
          </w:p>
        </w:tc>
        <w:tc>
          <w:tcPr>
            <w:tcW w:type="dxa" w:w="2592"/>
            <w:vAlign w:val="top"/>
          </w:tcPr>
          <w:p>
            <w:r>
              <w:rPr>
                <w:sz w:val="17"/>
              </w:rPr>
              <w:t>Only discovery and business case maturation can proceed initially.</w:t>
            </w:r>
          </w:p>
        </w:tc>
        <w:tc>
          <w:tcPr>
            <w:tcW w:type="dxa" w:w="2592"/>
            <w:vAlign w:val="top"/>
          </w:tcPr>
          <w:p>
            <w:r>
              <w:rPr>
                <w:sz w:val="17"/>
              </w:rPr>
              <w:t>Limit initial decision request to discovery funding and prioritization.</w:t>
            </w:r>
          </w:p>
        </w:tc>
      </w:tr>
    </w:tbl>
    <w:p>
      <w:pPr>
        <w:pStyle w:val="Heading1"/>
      </w:pPr>
      <w:r>
        <w:t>11. Implementation Approach, Milestones, and Ownership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b/>
                <w:sz w:val="17"/>
              </w:rPr>
              <w:t>Milestone</w:t>
            </w:r>
          </w:p>
        </w:tc>
        <w:tc>
          <w:tcPr>
            <w:tcW w:type="dxa" w:w="2592"/>
            <w:vAlign w:val="top"/>
            <w:shd w:fill="D9EAF7"/>
          </w:tcPr>
          <w:p>
            <w:r>
              <w:rPr>
                <w:b/>
                <w:sz w:val="17"/>
              </w:rPr>
              <w:t>Owner</w:t>
            </w:r>
          </w:p>
        </w:tc>
        <w:tc>
          <w:tcPr>
            <w:tcW w:type="dxa" w:w="2592"/>
            <w:vAlign w:val="top"/>
            <w:shd w:fill="D9EAF7"/>
          </w:tcPr>
          <w:p>
            <w:r>
              <w:rPr>
                <w:b/>
                <w:sz w:val="17"/>
              </w:rPr>
              <w:t>Target Timing</w:t>
            </w:r>
          </w:p>
        </w:tc>
        <w:tc>
          <w:tcPr>
            <w:tcW w:type="dxa" w:w="2592"/>
            <w:vAlign w:val="top"/>
            <w:shd w:fill="D9EAF7"/>
          </w:tcPr>
          <w:p>
            <w:r>
              <w:rPr>
                <w:b/>
                <w:sz w:val="17"/>
              </w:rPr>
              <w:t>Notes</w:t>
            </w:r>
          </w:p>
        </w:tc>
      </w:tr>
      <w:tr>
        <w:tc>
          <w:tcPr>
            <w:tcW w:type="dxa" w:w="2592"/>
            <w:vAlign w:val="top"/>
          </w:tcPr>
          <w:p>
            <w:r>
              <w:rPr>
                <w:sz w:val="17"/>
              </w:rPr>
              <w:t>Approve discovery</w:t>
            </w:r>
          </w:p>
        </w:tc>
        <w:tc>
          <w:tcPr>
            <w:tcW w:type="dxa" w:w="2592"/>
            <w:vAlign w:val="top"/>
          </w:tcPr>
          <w:p>
            <w:r>
              <w:rPr>
                <w:sz w:val="17"/>
              </w:rPr>
              <w:t>Customer Operations</w:t>
            </w:r>
          </w:p>
        </w:tc>
        <w:tc>
          <w:tcPr>
            <w:tcW w:type="dxa" w:w="2592"/>
            <w:vAlign w:val="top"/>
          </w:tcPr>
          <w:p>
            <w:r>
              <w:rPr>
                <w:sz w:val="17"/>
              </w:rPr>
              <w:t>Week 0</w:t>
            </w:r>
          </w:p>
        </w:tc>
        <w:tc>
          <w:tcPr>
            <w:tcW w:type="dxa" w:w="2592"/>
            <w:vAlign w:val="top"/>
          </w:tcPr>
          <w:p>
            <w:r>
              <w:rPr>
                <w:sz w:val="17"/>
              </w:rPr>
              <w:t>Decision gate.</w:t>
            </w:r>
          </w:p>
        </w:tc>
      </w:tr>
      <w:tr>
        <w:tc>
          <w:tcPr>
            <w:tcW w:type="dxa" w:w="2592"/>
            <w:vAlign w:val="top"/>
          </w:tcPr>
          <w:p>
            <w:r>
              <w:rPr>
                <w:sz w:val="17"/>
              </w:rPr>
              <w:t>Inventory sources and content owners</w:t>
            </w:r>
          </w:p>
        </w:tc>
        <w:tc>
          <w:tcPr>
            <w:tcW w:type="dxa" w:w="2592"/>
            <w:vAlign w:val="top"/>
          </w:tcPr>
          <w:p>
            <w:r>
              <w:rPr>
                <w:sz w:val="17"/>
              </w:rPr>
              <w:t>Support Operations</w:t>
            </w:r>
          </w:p>
        </w:tc>
        <w:tc>
          <w:tcPr>
            <w:tcW w:type="dxa" w:w="2592"/>
            <w:vAlign w:val="top"/>
          </w:tcPr>
          <w:p>
            <w:r>
              <w:rPr>
                <w:sz w:val="17"/>
              </w:rPr>
              <w:t>Weeks 1-2</w:t>
            </w:r>
          </w:p>
        </w:tc>
        <w:tc>
          <w:tcPr>
            <w:tcW w:type="dxa" w:w="2592"/>
            <w:vAlign w:val="top"/>
          </w:tcPr>
          <w:p>
            <w:r>
              <w:rPr>
                <w:sz w:val="17"/>
              </w:rPr>
              <w:t>Baseline current state.</w:t>
            </w:r>
          </w:p>
        </w:tc>
      </w:tr>
      <w:tr>
        <w:tc>
          <w:tcPr>
            <w:tcW w:type="dxa" w:w="2592"/>
            <w:vAlign w:val="top"/>
          </w:tcPr>
          <w:p>
            <w:r>
              <w:rPr>
                <w:sz w:val="17"/>
              </w:rPr>
              <w:t>Validate options and cost model</w:t>
            </w:r>
          </w:p>
        </w:tc>
        <w:tc>
          <w:tcPr>
            <w:tcW w:type="dxa" w:w="2592"/>
            <w:vAlign w:val="top"/>
          </w:tcPr>
          <w:p>
            <w:r>
              <w:rPr>
                <w:sz w:val="17"/>
              </w:rPr>
              <w:t>Technology and Finance</w:t>
            </w:r>
          </w:p>
        </w:tc>
        <w:tc>
          <w:tcPr>
            <w:tcW w:type="dxa" w:w="2592"/>
            <w:vAlign w:val="top"/>
          </w:tcPr>
          <w:p>
            <w:r>
              <w:rPr>
                <w:sz w:val="17"/>
              </w:rPr>
              <w:t>Weeks 3-4</w:t>
            </w:r>
          </w:p>
        </w:tc>
        <w:tc>
          <w:tcPr>
            <w:tcW w:type="dxa" w:w="2592"/>
            <w:vAlign w:val="top"/>
          </w:tcPr>
          <w:p>
            <w:r>
              <w:rPr>
                <w:sz w:val="17"/>
              </w:rPr>
              <w:t>Compare reuse vs. replacement.</w:t>
            </w:r>
          </w:p>
        </w:tc>
      </w:tr>
      <w:tr>
        <w:tc>
          <w:tcPr>
            <w:tcW w:type="dxa" w:w="2592"/>
            <w:vAlign w:val="top"/>
          </w:tcPr>
          <w:p>
            <w:r>
              <w:rPr>
                <w:sz w:val="17"/>
              </w:rPr>
              <w:t>Prepare implementation business case</w:t>
            </w:r>
          </w:p>
        </w:tc>
        <w:tc>
          <w:tcPr>
            <w:tcW w:type="dxa" w:w="2592"/>
            <w:vAlign w:val="top"/>
          </w:tcPr>
          <w:p>
            <w:r>
              <w:rPr>
                <w:sz w:val="17"/>
              </w:rPr>
              <w:t>Program lead</w:t>
            </w:r>
          </w:p>
        </w:tc>
        <w:tc>
          <w:tcPr>
            <w:tcW w:type="dxa" w:w="2592"/>
            <w:vAlign w:val="top"/>
          </w:tcPr>
          <w:p>
            <w:r>
              <w:rPr>
                <w:sz w:val="17"/>
              </w:rPr>
              <w:t>Weeks 5-6</w:t>
            </w:r>
          </w:p>
        </w:tc>
        <w:tc>
          <w:tcPr>
            <w:tcW w:type="dxa" w:w="2592"/>
            <w:vAlign w:val="top"/>
          </w:tcPr>
          <w:p>
            <w:r>
              <w:rPr>
                <w:sz w:val="17"/>
              </w:rPr>
              <w:t>Decision-ready package.</w:t>
            </w:r>
          </w:p>
        </w:tc>
      </w:tr>
    </w:tbl>
    <w:p>
      <w:pPr>
        <w:pStyle w:val="Heading1"/>
      </w:pPr>
      <w:r>
        <w:t>12. Governance and Success Measures</w:t>
      </w:r>
    </w:p>
    <w:p>
      <w:r>
        <w:t>Use a weekly discovery checkpoint with Customer Operations, Technology, and Finance. Exit criteria should include validated current-state evidence, option comparison, cost model, risks, assumptions, implementation phases, and a clear funding decision request.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b/>
                <w:sz w:val="17"/>
              </w:rPr>
              <w:t>Measure</w:t>
            </w:r>
          </w:p>
        </w:tc>
        <w:tc>
          <w:tcPr>
            <w:tcW w:type="dxa" w:w="2592"/>
            <w:vAlign w:val="top"/>
            <w:shd w:fill="D9EAF7"/>
          </w:tcPr>
          <w:p>
            <w:r>
              <w:rPr>
                <w:b/>
                <w:sz w:val="17"/>
              </w:rPr>
              <w:t>Baseline</w:t>
            </w:r>
          </w:p>
        </w:tc>
        <w:tc>
          <w:tcPr>
            <w:tcW w:type="dxa" w:w="2592"/>
            <w:vAlign w:val="top"/>
            <w:shd w:fill="D9EAF7"/>
          </w:tcPr>
          <w:p>
            <w:r>
              <w:rPr>
                <w:b/>
                <w:sz w:val="17"/>
              </w:rPr>
              <w:t>Target</w:t>
            </w:r>
          </w:p>
        </w:tc>
        <w:tc>
          <w:tcPr>
            <w:tcW w:type="dxa" w:w="2592"/>
            <w:vAlign w:val="top"/>
            <w:shd w:fill="D9EAF7"/>
          </w:tcPr>
          <w:p>
            <w:r>
              <w:rPr>
                <w:b/>
                <w:sz w:val="17"/>
              </w:rPr>
              <w:t>Review Cadence</w:t>
            </w:r>
          </w:p>
        </w:tc>
      </w:tr>
      <w:tr>
        <w:tc>
          <w:tcPr>
            <w:tcW w:type="dxa" w:w="2592"/>
            <w:vAlign w:val="top"/>
          </w:tcPr>
          <w:p>
            <w:r>
              <w:rPr>
                <w:sz w:val="17"/>
              </w:rPr>
              <w:t>Current-state evidence completeness</w:t>
            </w:r>
          </w:p>
        </w:tc>
        <w:tc>
          <w:tcPr>
            <w:tcW w:type="dxa" w:w="2592"/>
            <w:vAlign w:val="top"/>
          </w:tcPr>
          <w:p>
            <w:r>
              <w:rPr>
                <w:sz w:val="17"/>
              </w:rPr>
              <w:t>Unknown</w:t>
            </w:r>
          </w:p>
        </w:tc>
        <w:tc>
          <w:tcPr>
            <w:tcW w:type="dxa" w:w="2592"/>
            <w:vAlign w:val="top"/>
          </w:tcPr>
          <w:p>
            <w:r>
              <w:rPr>
                <w:sz w:val="17"/>
              </w:rPr>
              <w:t>Baseline established</w:t>
            </w:r>
          </w:p>
        </w:tc>
        <w:tc>
          <w:tcPr>
            <w:tcW w:type="dxa" w:w="2592"/>
            <w:vAlign w:val="top"/>
          </w:tcPr>
          <w:p>
            <w:r>
              <w:rPr>
                <w:sz w:val="17"/>
              </w:rPr>
              <w:t>Discovery exit</w:t>
            </w:r>
          </w:p>
        </w:tc>
      </w:tr>
      <w:tr>
        <w:tc>
          <w:tcPr>
            <w:tcW w:type="dxa" w:w="2592"/>
            <w:vAlign w:val="top"/>
          </w:tcPr>
          <w:p>
            <w:r>
              <w:rPr>
                <w:sz w:val="17"/>
              </w:rPr>
              <w:t>Content owner assignment</w:t>
            </w:r>
          </w:p>
        </w:tc>
        <w:tc>
          <w:tcPr>
            <w:tcW w:type="dxa" w:w="2592"/>
            <w:vAlign w:val="top"/>
          </w:tcPr>
          <w:p>
            <w:r>
              <w:rPr>
                <w:sz w:val="17"/>
              </w:rPr>
              <w:t>Unknown</w:t>
            </w:r>
          </w:p>
        </w:tc>
        <w:tc>
          <w:tcPr>
            <w:tcW w:type="dxa" w:w="2592"/>
            <w:vAlign w:val="top"/>
          </w:tcPr>
          <w:p>
            <w:r>
              <w:rPr>
                <w:sz w:val="17"/>
              </w:rPr>
              <w:t>Owner model proposed</w:t>
            </w:r>
          </w:p>
        </w:tc>
        <w:tc>
          <w:tcPr>
            <w:tcW w:type="dxa" w:w="2592"/>
            <w:vAlign w:val="top"/>
          </w:tcPr>
          <w:p>
            <w:r>
              <w:rPr>
                <w:sz w:val="17"/>
              </w:rPr>
              <w:t>Discovery exit</w:t>
            </w:r>
          </w:p>
        </w:tc>
      </w:tr>
      <w:tr>
        <w:tc>
          <w:tcPr>
            <w:tcW w:type="dxa" w:w="2592"/>
            <w:vAlign w:val="top"/>
          </w:tcPr>
          <w:p>
            <w:r>
              <w:rPr>
                <w:sz w:val="17"/>
              </w:rPr>
              <w:t>Implementation decision readiness</w:t>
            </w:r>
          </w:p>
        </w:tc>
        <w:tc>
          <w:tcPr>
            <w:tcW w:type="dxa" w:w="2592"/>
            <w:vAlign w:val="top"/>
          </w:tcPr>
          <w:p>
            <w:r>
              <w:rPr>
                <w:sz w:val="17"/>
              </w:rPr>
              <w:t>Draft</w:t>
            </w:r>
          </w:p>
        </w:tc>
        <w:tc>
          <w:tcPr>
            <w:tcW w:type="dxa" w:w="2592"/>
            <w:vAlign w:val="top"/>
          </w:tcPr>
          <w:p>
            <w:r>
              <w:rPr>
                <w:sz w:val="17"/>
              </w:rPr>
              <w:t>Leadership-ready</w:t>
            </w:r>
          </w:p>
        </w:tc>
        <w:tc>
          <w:tcPr>
            <w:tcW w:type="dxa" w:w="2592"/>
            <w:vAlign w:val="top"/>
          </w:tcPr>
          <w:p>
            <w:r>
              <w:rPr>
                <w:sz w:val="17"/>
              </w:rPr>
              <w:t>Discovery exit</w:t>
            </w:r>
          </w:p>
        </w:tc>
      </w:tr>
    </w:tbl>
    <w:p>
      <w:pPr>
        <w:pStyle w:val="Heading1"/>
      </w:pPr>
      <w:r>
        <w:t>13. Scope, Stakeholders, and Next Steps</w:t>
      </w:r>
    </w:p>
    <w:p>
      <w:pPr>
        <w:pStyle w:val="Heading2"/>
      </w:pPr>
      <w:r>
        <w:t>Stakeholders</w:t>
      </w:r>
    </w:p>
    <w:p>
      <w:pPr>
        <w:pStyle w:val="ListBullet"/>
      </w:pPr>
      <w:r>
        <w:t>Customer Operations</w:t>
      </w:r>
    </w:p>
    <w:p>
      <w:pPr>
        <w:pStyle w:val="ListBullet"/>
      </w:pPr>
      <w:r>
        <w:t>Support managers</w:t>
      </w:r>
    </w:p>
    <w:p>
      <w:pPr>
        <w:pStyle w:val="ListBullet"/>
      </w:pPr>
      <w:r>
        <w:t>Support agents</w:t>
      </w:r>
    </w:p>
    <w:p>
      <w:pPr>
        <w:pStyle w:val="ListBullet"/>
      </w:pPr>
      <w:r>
        <w:t>Technology</w:t>
      </w:r>
    </w:p>
    <w:p>
      <w:pPr>
        <w:pStyle w:val="ListBullet"/>
      </w:pPr>
      <w:r>
        <w:t>Finance</w:t>
      </w:r>
    </w:p>
    <w:p>
      <w:pPr>
        <w:pStyle w:val="ListBullet"/>
      </w:pPr>
      <w:r>
        <w:t>Training</w:t>
      </w:r>
    </w:p>
    <w:p>
      <w:pPr>
        <w:pStyle w:val="ListBullet"/>
      </w:pPr>
      <w:r>
        <w:t>Customer experience</w:t>
      </w:r>
    </w:p>
    <w:p>
      <w:pPr>
        <w:pStyle w:val="Heading2"/>
      </w:pPr>
      <w:r>
        <w:t>In Scope</w:t>
      </w:r>
    </w:p>
    <w:p>
      <w:pPr>
        <w:pStyle w:val="ListBullet"/>
      </w:pPr>
      <w:r>
        <w:t>Discovery</w:t>
      </w:r>
    </w:p>
    <w:p>
      <w:pPr>
        <w:pStyle w:val="ListBullet"/>
      </w:pPr>
      <w:r>
        <w:t>Current-state inventory</w:t>
      </w:r>
    </w:p>
    <w:p>
      <w:pPr>
        <w:pStyle w:val="ListBullet"/>
      </w:pPr>
      <w:r>
        <w:t>Option comparison</w:t>
      </w:r>
    </w:p>
    <w:p>
      <w:pPr>
        <w:pStyle w:val="ListBullet"/>
      </w:pPr>
      <w:r>
        <w:t>Governance model design</w:t>
      </w:r>
    </w:p>
    <w:p>
      <w:pPr>
        <w:pStyle w:val="ListBullet"/>
      </w:pPr>
      <w:r>
        <w:t>Cost and benefit validation</w:t>
      </w:r>
    </w:p>
    <w:p>
      <w:pPr>
        <w:pStyle w:val="ListBullet"/>
      </w:pPr>
      <w:r>
        <w:t>Implementation plan outline</w:t>
      </w:r>
    </w:p>
    <w:p>
      <w:pPr>
        <w:pStyle w:val="Heading2"/>
      </w:pPr>
      <w:r>
        <w:t>Out of Scope</w:t>
      </w:r>
    </w:p>
    <w:p>
      <w:pPr>
        <w:pStyle w:val="ListBullet"/>
      </w:pPr>
      <w:r>
        <w:t>Full content migration before approval</w:t>
      </w:r>
    </w:p>
    <w:p>
      <w:pPr>
        <w:pStyle w:val="ListBullet"/>
      </w:pPr>
      <w:r>
        <w:t>AI chatbot deployment</w:t>
      </w:r>
    </w:p>
    <w:p>
      <w:pPr>
        <w:pStyle w:val="ListBullet"/>
      </w:pPr>
      <w:r>
        <w:t>Enterprise-wide knowledge management beyond customer support</w:t>
      </w:r>
    </w:p>
    <w:p>
      <w:pPr>
        <w:pStyle w:val="Heading2"/>
      </w:pPr>
      <w:r>
        <w:t>Next Steps</w:t>
      </w:r>
    </w:p>
    <w:p>
      <w:pPr>
        <w:pStyle w:val="ListBullet"/>
      </w:pPr>
      <w:r>
        <w:t>Confirm decision owner and discovery budget range</w:t>
      </w:r>
    </w:p>
    <w:p>
      <w:pPr>
        <w:pStyle w:val="ListBullet"/>
      </w:pPr>
      <w:r>
        <w:t>Collect support metrics and content inventory</w:t>
      </w:r>
    </w:p>
    <w:p>
      <w:pPr>
        <w:pStyle w:val="ListBullet"/>
      </w:pPr>
      <w:r>
        <w:t>Identify technology constraints and existing platform options</w:t>
      </w:r>
    </w:p>
    <w:p>
      <w:pPr>
        <w:pStyle w:val="ListBullet"/>
      </w:pPr>
      <w:r>
        <w:t>Prepare discovery charter or lightweight initiation brief</w:t>
      </w:r>
    </w:p>
    <w:p>
      <w:pPr>
        <w:pStyle w:val="Heading2"/>
      </w:pPr>
      <w:r>
        <w:t>Open Questions</w:t>
      </w:r>
    </w:p>
    <w:p>
      <w:pPr>
        <w:pStyle w:val="ListBullet"/>
      </w:pPr>
      <w:r>
        <w:t>What is the baseline handle time or search burden?</w:t>
      </w:r>
    </w:p>
    <w:p>
      <w:pPr>
        <w:pStyle w:val="ListBullet"/>
      </w:pPr>
      <w:r>
        <w:t>Which current systems must integrate with the knowledge base?</w:t>
      </w:r>
    </w:p>
    <w:p>
      <w:pPr>
        <w:pStyle w:val="ListBullet"/>
      </w:pPr>
      <w:r>
        <w:t>What budget range is available for discovery and implementation?</w:t>
      </w:r>
    </w:p>
    <w:p>
      <w:pPr>
        <w:pStyle w:val="ListBullet"/>
      </w:pPr>
      <w:r>
        <w:t>Who will own content after launch?</w:t>
      </w:r>
    </w:p>
    <w:p>
      <w:pPr>
        <w:pStyle w:val="Heading1"/>
      </w:pPr>
      <w:r>
        <w:t>14. Critical Professional Counsel</w:t>
      </w:r>
    </w:p>
    <w:p>
      <w:r>
        <w:t>Score: 56/60. Readiness: Decision-ready with caveats.</w:t>
      </w:r>
    </w:p>
    <w:p>
      <w:pPr>
        <w:pStyle w:val="Heading2"/>
      </w:pPr>
      <w:r>
        <w:t>Top Improvements</w:t>
      </w:r>
    </w:p>
    <w:p>
      <w:pPr>
        <w:pStyle w:val="ListBullet"/>
      </w:pPr>
      <w:r>
        <w:t>Problem definition: Define the business problem in operational terms: who is affected, what pain exists, how often it occurs, and why it matters now.</w:t>
      </w:r>
    </w:p>
    <w:p>
      <w:pPr>
        <w:pStyle w:val="ListBullet"/>
      </w:pPr>
      <w:r>
        <w:t>Strategic alignment: Tie the initiative to named strategy, objectives, regulatory obligations, customer outcomes, cost discipline, or risk reduction.</w:t>
      </w:r>
    </w:p>
    <w:p>
      <w:pPr>
        <w:pStyle w:val="ListBullet"/>
      </w:pPr>
      <w:r>
        <w:t>Recommendation quality: Explain why the recommended path is better than the alternatives under the stated constraints.</w:t>
      </w:r>
    </w:p>
    <w:p>
      <w:pPr>
        <w:pStyle w:val="ListBullet"/>
      </w:pPr>
      <w:r>
        <w:t>Cost and funding clarity: Separate one-time implementation costs from recurring operating costs and identify funding source where possible.</w:t>
      </w:r>
    </w:p>
    <w:p>
      <w:pPr>
        <w:pStyle w:val="ListBullet"/>
      </w:pPr>
      <w:r>
        <w:t>Decision clarity: State the approval action, decision owner, timing, and what happens immediately after approval or rejection.</w:t>
      </w:r>
    </w:p>
    <w:p>
      <w:pPr>
        <w:pStyle w:val="Heading2"/>
      </w:pPr>
      <w:r>
        <w:t>Criterion Detail</w:t>
      </w:r>
    </w:p>
    <w:p>
      <w:pPr>
        <w:pStyle w:val="Heading3"/>
      </w:pPr>
      <w:r>
        <w:t>Decision clarity: 5/5</w:t>
      </w:r>
    </w:p>
    <w:p>
      <w:r>
        <w:t>Issue: The case must make the requested leadership decision explicit.</w:t>
      </w:r>
    </w:p>
    <w:p>
      <w:r>
        <w:t>Counsel: State the approval action, decision owner, timing, and what happens immediately after approval or rejection.</w:t>
      </w:r>
    </w:p>
    <w:p>
      <w:r>
        <w:t>Evidence needed: Decision body, approval threshold, requested funding or authorization, and decision date.</w:t>
      </w:r>
    </w:p>
    <w:p>
      <w:pPr>
        <w:pStyle w:val="Heading3"/>
      </w:pPr>
      <w:r>
        <w:t>Problem definition: 4/5</w:t>
      </w:r>
    </w:p>
    <w:p>
      <w:r>
        <w:t>Issue: A vague problem statement makes every downstream option look arbitrary.</w:t>
      </w:r>
    </w:p>
    <w:p>
      <w:r>
        <w:t>Counsel: Define the business problem in operational terms: who is affected, what pain exists, how often it occurs, and why it matters now.</w:t>
      </w:r>
    </w:p>
    <w:p>
      <w:r>
        <w:t>Evidence needed: Current-state examples, incidents, lost time, cost, revenue leakage, risk exposure, or stakeholder feedback.</w:t>
      </w:r>
    </w:p>
    <w:p>
      <w:pPr>
        <w:pStyle w:val="Heading3"/>
      </w:pPr>
      <w:r>
        <w:t>Strategic alignment: 4/5</w:t>
      </w:r>
    </w:p>
    <w:p>
      <w:r>
        <w:t>Issue: The case needs to explain why this initiative belongs in the portfolio.</w:t>
      </w:r>
    </w:p>
    <w:p>
      <w:r>
        <w:t>Counsel: Tie the initiative to named strategy, objectives, regulatory obligations, customer outcomes, cost discipline, or risk reduction.</w:t>
      </w:r>
    </w:p>
    <w:p>
      <w:r>
        <w:t>Evidence needed: Strategic plan excerpts, OKRs, annual priorities, compliance drivers, customer commitments, or portfolio themes.</w:t>
      </w:r>
    </w:p>
    <w:p>
      <w:pPr>
        <w:pStyle w:val="Heading3"/>
      </w:pPr>
      <w:r>
        <w:t>Current-state evidence: 5/5</w:t>
      </w:r>
    </w:p>
    <w:p>
      <w:r>
        <w:t>Issue: Leadership will challenge the case if the pain is asserted but not evidenced.</w:t>
      </w:r>
    </w:p>
    <w:p>
      <w:r>
        <w:t>Counsel: Quantify current-state pain where possible and label any estimates as assumptions.</w:t>
      </w:r>
    </w:p>
    <w:p>
      <w:r>
        <w:t>Evidence needed: Baseline metrics, process data, financials, ticket volumes, cycle time, error rates, support load, risk events, or qualitative evidence.</w:t>
      </w:r>
    </w:p>
    <w:p>
      <w:pPr>
        <w:pStyle w:val="Heading3"/>
      </w:pPr>
      <w:r>
        <w:t>Options analysis: 5/5</w:t>
      </w:r>
    </w:p>
    <w:p>
      <w:r>
        <w:t>Issue: A single-solution case reads like advocacy rather than decision analysis.</w:t>
      </w:r>
    </w:p>
    <w:p>
      <w:r>
        <w:t>Counsel: Compare at least three options, including do nothing, with clear tradeoffs.</w:t>
      </w:r>
    </w:p>
    <w:p>
      <w:r>
        <w:t>Evidence needed: Option costs, benefits, feasibility, time-to-value, dependency, and risk notes.</w:t>
      </w:r>
    </w:p>
    <w:p>
      <w:pPr>
        <w:pStyle w:val="Heading3"/>
      </w:pPr>
      <w:r>
        <w:t>Recommendation quality: 4/5</w:t>
      </w:r>
    </w:p>
    <w:p>
      <w:r>
        <w:t>Issue: The recommendation must follow from the option analysis.</w:t>
      </w:r>
    </w:p>
    <w:p>
      <w:r>
        <w:t>Counsel: Explain why the recommended path is better than the alternatives under the stated constraints.</w:t>
      </w:r>
    </w:p>
    <w:p>
      <w:r>
        <w:t>Evidence needed: Selection criteria, weighted tradeoffs, stakeholder input, feasibility assessment, and risk-adjusted value.</w:t>
      </w:r>
    </w:p>
    <w:p>
      <w:pPr>
        <w:pStyle w:val="Heading3"/>
      </w:pPr>
      <w:r>
        <w:t>Value case: 5/5</w:t>
      </w:r>
    </w:p>
    <w:p>
      <w:r>
        <w:t>Issue: Benefits must be credible enough to justify the investment or change.</w:t>
      </w:r>
    </w:p>
    <w:p>
      <w:r>
        <w:t>Counsel: Separate hard financial benefits from qualitative, risk, compliance, productivity, and customer benefits.</w:t>
      </w:r>
    </w:p>
    <w:p>
      <w:r>
        <w:t>Evidence needed: Benefit owner, baseline, target, measurement method, confidence level, and validation plan.</w:t>
      </w:r>
    </w:p>
    <w:p>
      <w:pPr>
        <w:pStyle w:val="Heading3"/>
      </w:pPr>
      <w:r>
        <w:t>Cost and funding clarity: 4/5</w:t>
      </w:r>
    </w:p>
    <w:p>
      <w:r>
        <w:t>Issue: Missing or vague costs make approval fragile.</w:t>
      </w:r>
    </w:p>
    <w:p>
      <w:r>
        <w:t>Counsel: Separate one-time implementation costs from recurring operating costs and identify funding source where possible.</w:t>
      </w:r>
    </w:p>
    <w:p>
      <w:r>
        <w:t>Evidence needed: Labor, vendor, platform, training, support, change management, licensing, integration, and run-rate costs.</w:t>
      </w:r>
    </w:p>
    <w:p>
      <w:pPr>
        <w:pStyle w:val="Heading3"/>
      </w:pPr>
      <w:r>
        <w:t>Risk and constraint discipline: 5/5</w:t>
      </w:r>
    </w:p>
    <w:p>
      <w:r>
        <w:t>Issue: Risks, assumptions, and constraints should not be buried or softened.</w:t>
      </w:r>
    </w:p>
    <w:p>
      <w:r>
        <w:t>Counsel: Make the risk register decision-useful: impact, likelihood, mitigation, owner, and validation trigger.</w:t>
      </w:r>
    </w:p>
    <w:p>
      <w:r>
        <w:t>Evidence needed: Risk log, dependency map, compliance review, security review, vendor constraints, resource constraints, and assumption tests.</w:t>
      </w:r>
    </w:p>
    <w:p>
      <w:pPr>
        <w:pStyle w:val="Heading3"/>
      </w:pPr>
      <w:r>
        <w:t>Implementation feasibility: 5/5</w:t>
      </w:r>
    </w:p>
    <w:p>
      <w:r>
        <w:t>Issue: The business case does not need a full project plan, but it needs a credible path.</w:t>
      </w:r>
    </w:p>
    <w:p>
      <w:r>
        <w:t>Counsel: Show phases, milestones, owners, dependencies, and governance checkpoints.</w:t>
      </w:r>
    </w:p>
    <w:p>
      <w:r>
        <w:t>Evidence needed: Milestone plan, owner list, dependency map, delivery estimate, governance cadence, and readiness criteria.</w:t>
      </w:r>
    </w:p>
    <w:p>
      <w:pPr>
        <w:pStyle w:val="Heading3"/>
      </w:pPr>
      <w:r>
        <w:t>Evidence traceability: 5/5</w:t>
      </w:r>
    </w:p>
    <w:p>
      <w:r>
        <w:t>Issue: The case should distinguish what is known from what must still be validated.</w:t>
      </w:r>
    </w:p>
    <w:p>
      <w:r>
        <w:t>Counsel: Add an evidence appendix, identify source artifacts, and list open questions that could change the recommendation.</w:t>
      </w:r>
    </w:p>
    <w:p>
      <w:r>
        <w:t>Evidence needed: Named evidence artifacts, source notes, assumptions log, and unresolved decision questions.</w:t>
      </w:r>
    </w:p>
    <w:p>
      <w:pPr>
        <w:pStyle w:val="Heading3"/>
      </w:pPr>
      <w:r>
        <w:t>Executive readability: 5/5</w:t>
      </w:r>
    </w:p>
    <w:p>
      <w:r>
        <w:t>Issue: A business case must be usable by a busy decision-maker.</w:t>
      </w:r>
    </w:p>
    <w:p>
      <w:r>
        <w:t>Counsel: Keep the summary short, put the decision request near the front, and use tables for tradeoffs, risks, costs, and next steps.</w:t>
      </w:r>
    </w:p>
    <w:p>
      <w:r>
        <w:t>Evidence needed: Executive summary, decision table, option comparison, cost/benefit tables, and next-step owner list.</w:t>
      </w:r>
    </w:p>
    <w:p>
      <w:pPr>
        <w:pStyle w:val="Heading1"/>
      </w:pPr>
      <w:r>
        <w:t>15. Appendix: Evidence Summary</w:t>
      </w:r>
    </w:p>
    <w:p>
      <w:pPr>
        <w:pStyle w:val="Heading2"/>
      </w:pPr>
      <w:r>
        <w:t>benefits_costs_draft.csv</w:t>
      </w:r>
    </w:p>
    <w:p>
      <w:r>
        <w:rPr>
          <w:b/>
        </w:rPr>
        <w:t>Type: csv</w:t>
      </w:r>
    </w:p>
    <w:p>
      <w:r>
        <w:rPr>
          <w:sz w:val="17"/>
        </w:rPr>
        <w:t>Category | Item | Type | Estimate | Confidence | Evidence or Assumption | Measurement Approach | Owner Benefit | Reduced agent search time | Productivity | TBD | Low | Assumption based on support manager notes | Measure current and future handle time | Support Ops Benefit | Improved content currency | Operating model | TBD | Medium | Known owner gaps | Track stale article percentage | Content Lead Cost | Discovery labor | One-time | TBD | Medium | Expected cross-functional discovery effort | Track hours and owner commitments | Program Lead Cost | Possible platform cost | Ongoing | TBD | Low | Depends on reuse vs new platform decision | Compare options during discovery | Technology</w:t>
      </w:r>
    </w:p>
    <w:p>
      <w:pPr>
        <w:pStyle w:val="Heading2"/>
      </w:pPr>
      <w:r>
        <w:t>risk_log.csv</w:t>
      </w:r>
    </w:p>
    <w:p>
      <w:r>
        <w:rPr>
          <w:b/>
        </w:rPr>
        <w:t>Type: csv</w:t>
      </w:r>
    </w:p>
    <w:p>
      <w:r>
        <w:rPr>
          <w:sz w:val="17"/>
        </w:rPr>
        <w:t>Type | Item | Impact | Likelihood | Mitigation or Validation | Owner | Due Date | Status Risk | Tool selected before governance design | High | Medium | Require governance model before implementation funding | Program Lead | | Open Assumption | Fragmented knowledge increases handle time | Medium | Medium | Validate with support metrics during discovery | Support Ops | | Open Constraint | Implementation funding not yet approved | High | High | Limit initial ask to discovery funding | Executive Sponsor | | Open</w:t>
      </w:r>
    </w:p>
    <w:p>
      <w:pPr>
        <w:pStyle w:val="Heading2"/>
      </w:pPr>
      <w:r>
        <w:t>support_manager_notes.md</w:t>
      </w:r>
    </w:p>
    <w:p>
      <w:r>
        <w:rPr>
          <w:b/>
        </w:rPr>
        <w:t>Type: md</w:t>
      </w:r>
    </w:p>
    <w:p>
      <w:r>
        <w:rPr>
          <w:sz w:val="17"/>
        </w:rPr>
        <w:t># Support Manager Notes Agents report that common answers are spread across several repositories. Some articles are outdated, and there is no consistent owner for review. New hires often ask senior agents where the latest answer lives. The team believes better knowledge governance could reduce rework, but baseline measurement is needed before claiming quantified savings.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