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Decision-Support Brief</w:t>
      </w:r>
    </w:p>
    <w:p>
      <w:pPr>
        <w:jc w:val="center"/>
      </w:pPr>
      <w:r>
        <w:t>Synthetic sample output. Advisory decision support only; final funding and sequencing decisions remain with accountable human leaders.</w:t>
      </w:r>
    </w:p>
    <w:p>
      <w:pPr>
        <w:pStyle w:val="Heading1"/>
      </w:pPr>
      <w:r>
        <w:t>Executive Summary</w:t>
      </w:r>
    </w:p>
    <w:p>
      <w:r>
        <w:t>The synthetic portfolio contains 4 initiatives with estimated spend of $6,100,000 and delivery demand of 189 FTE-months. One mandatory compliance initiative should be protected and sequenced through governance. High-value discretionary work requires explicit budget, capacity, and dependency trade-offs. One platform initiative remains on governance hold because sponsor and decision authority are missing.</w:t>
      </w:r>
    </w:p>
    <w:p>
      <w:pPr>
        <w:pStyle w:val="Heading1"/>
      </w:pPr>
      <w:r>
        <w:t>Scored Portfolio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504"/>
            <w:shd w:fill="D9EAF7"/>
            <w:vAlign w:val="center"/>
          </w:tcPr>
          <w:p>
            <w:r>
              <w:t>Rank</w:t>
            </w:r>
          </w:p>
        </w:tc>
        <w:tc>
          <w:tcPr>
            <w:tcW w:type="dxa" w:w="792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t>Initiative</w:t>
            </w:r>
          </w:p>
        </w:tc>
        <w:tc>
          <w:tcPr>
            <w:tcW w:type="dxa" w:w="1224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720"/>
            <w:shd w:fill="D9EAF7"/>
            <w:vAlign w:val="center"/>
          </w:tcPr>
          <w:p>
            <w:r>
              <w:t>Score</w:t>
            </w:r>
          </w:p>
        </w:tc>
        <w:tc>
          <w:tcPr>
            <w:tcW w:type="dxa" w:w="1080"/>
            <w:shd w:fill="D9EAF7"/>
            <w:vAlign w:val="center"/>
          </w:tcPr>
          <w:p>
            <w:r>
              <w:t>Confidence</w:t>
            </w:r>
          </w:p>
        </w:tc>
        <w:tc>
          <w:tcPr>
            <w:tcW w:type="dxa" w:w="3384"/>
            <w:shd w:fill="D9EAF7"/>
            <w:vAlign w:val="center"/>
          </w:tcPr>
          <w:p>
            <w:r>
              <w:t>Recommendation</w:t>
            </w:r>
          </w:p>
        </w:tc>
      </w:tr>
      <w:tr>
        <w:tc>
          <w:tcPr>
            <w:tcW w:type="dxa" w:w="504"/>
            <w:vAlign w:val="top"/>
          </w:tcPr>
          <w:p>
            <w:r>
              <w:t>1</w:t>
            </w:r>
          </w:p>
        </w:tc>
        <w:tc>
          <w:tcPr>
            <w:tcW w:type="dxa" w:w="792"/>
            <w:vAlign w:val="top"/>
          </w:tcPr>
          <w:p>
            <w:r>
              <w:t>P-003</w:t>
            </w:r>
          </w:p>
        </w:tc>
        <w:tc>
          <w:tcPr>
            <w:tcW w:type="dxa" w:w="2376"/>
            <w:vAlign w:val="top"/>
          </w:tcPr>
          <w:p>
            <w:r>
              <w:t>Field Service Scheduling Automation</w:t>
            </w:r>
          </w:p>
        </w:tc>
        <w:tc>
          <w:tcPr>
            <w:tcW w:type="dxa" w:w="1224"/>
            <w:vAlign w:val="top"/>
          </w:tcPr>
          <w:p>
            <w:r>
              <w:t>Discretionary</w:t>
            </w:r>
          </w:p>
        </w:tc>
        <w:tc>
          <w:tcPr>
            <w:tcW w:type="dxa" w:w="720"/>
            <w:vAlign w:val="top"/>
          </w:tcPr>
          <w:p>
            <w:r>
              <w:t>80.0</w:t>
            </w:r>
          </w:p>
        </w:tc>
        <w:tc>
          <w:tcPr>
            <w:tcW w:type="dxa" w:w="1080"/>
            <w:vAlign w:val="top"/>
          </w:tcPr>
          <w:p>
            <w:r>
              <w:t>High</w:t>
            </w:r>
          </w:p>
        </w:tc>
        <w:tc>
          <w:tcPr>
            <w:tcW w:type="dxa" w:w="3384"/>
            <w:vAlign w:val="top"/>
          </w:tcPr>
          <w:p>
            <w:r>
              <w:t>Prioritize</w:t>
            </w:r>
          </w:p>
        </w:tc>
      </w:tr>
      <w:tr>
        <w:tc>
          <w:tcPr>
            <w:tcW w:type="dxa" w:w="504"/>
            <w:vAlign w:val="top"/>
          </w:tcPr>
          <w:p>
            <w:r>
              <w:t>2</w:t>
            </w:r>
          </w:p>
        </w:tc>
        <w:tc>
          <w:tcPr>
            <w:tcW w:type="dxa" w:w="792"/>
            <w:vAlign w:val="top"/>
          </w:tcPr>
          <w:p>
            <w:r>
              <w:t>P-002</w:t>
            </w:r>
          </w:p>
        </w:tc>
        <w:tc>
          <w:tcPr>
            <w:tcW w:type="dxa" w:w="2376"/>
            <w:vAlign w:val="top"/>
          </w:tcPr>
          <w:p>
            <w:r>
              <w:t>Self-Service Revenue Portal Expansion</w:t>
            </w:r>
          </w:p>
        </w:tc>
        <w:tc>
          <w:tcPr>
            <w:tcW w:type="dxa" w:w="1224"/>
            <w:vAlign w:val="top"/>
          </w:tcPr>
          <w:p>
            <w:r>
              <w:t>Discretionary</w:t>
            </w:r>
          </w:p>
        </w:tc>
        <w:tc>
          <w:tcPr>
            <w:tcW w:type="dxa" w:w="720"/>
            <w:vAlign w:val="top"/>
          </w:tcPr>
          <w:p>
            <w:r>
              <w:t>79.0</w:t>
            </w:r>
          </w:p>
        </w:tc>
        <w:tc>
          <w:tcPr>
            <w:tcW w:type="dxa" w:w="1080"/>
            <w:vAlign w:val="top"/>
          </w:tcPr>
          <w:p>
            <w:r>
              <w:t>High</w:t>
            </w:r>
          </w:p>
        </w:tc>
        <w:tc>
          <w:tcPr>
            <w:tcW w:type="dxa" w:w="3384"/>
            <w:vAlign w:val="top"/>
          </w:tcPr>
          <w:p>
            <w:r>
              <w:t>Board trade-off - high value but material funding or capacity burden</w:t>
            </w:r>
          </w:p>
        </w:tc>
      </w:tr>
      <w:tr>
        <w:tc>
          <w:tcPr>
            <w:tcW w:type="dxa" w:w="504"/>
            <w:vAlign w:val="top"/>
          </w:tcPr>
          <w:p>
            <w:r>
              <w:t>3</w:t>
            </w:r>
          </w:p>
        </w:tc>
        <w:tc>
          <w:tcPr>
            <w:tcW w:type="dxa" w:w="792"/>
            <w:vAlign w:val="top"/>
          </w:tcPr>
          <w:p>
            <w:r>
              <w:t>P-001</w:t>
            </w:r>
          </w:p>
        </w:tc>
        <w:tc>
          <w:tcPr>
            <w:tcW w:type="dxa" w:w="2376"/>
            <w:vAlign w:val="top"/>
          </w:tcPr>
          <w:p>
            <w:r>
              <w:t>Data Retention Compliance Remediation</w:t>
            </w:r>
          </w:p>
        </w:tc>
        <w:tc>
          <w:tcPr>
            <w:tcW w:type="dxa" w:w="1224"/>
            <w:vAlign w:val="top"/>
          </w:tcPr>
          <w:p>
            <w:r>
              <w:t>Mandatory</w:t>
            </w:r>
          </w:p>
        </w:tc>
        <w:tc>
          <w:tcPr>
            <w:tcW w:type="dxa" w:w="720"/>
            <w:vAlign w:val="top"/>
          </w:tcPr>
          <w:p>
            <w:r>
              <w:t>71.0</w:t>
            </w:r>
          </w:p>
        </w:tc>
        <w:tc>
          <w:tcPr>
            <w:tcW w:type="dxa" w:w="1080"/>
            <w:vAlign w:val="top"/>
          </w:tcPr>
          <w:p>
            <w:r>
              <w:t>Medium</w:t>
            </w:r>
          </w:p>
        </w:tc>
        <w:tc>
          <w:tcPr>
            <w:tcW w:type="dxa" w:w="3384"/>
            <w:vAlign w:val="top"/>
          </w:tcPr>
          <w:p>
            <w:r>
              <w:t>Mandatory commitment - protect capacity and sequence through governance</w:t>
            </w:r>
          </w:p>
        </w:tc>
      </w:tr>
      <w:tr>
        <w:tc>
          <w:tcPr>
            <w:tcW w:type="dxa" w:w="504"/>
            <w:vAlign w:val="top"/>
          </w:tcPr>
          <w:p>
            <w:r>
              <w:t>4</w:t>
            </w:r>
          </w:p>
        </w:tc>
        <w:tc>
          <w:tcPr>
            <w:tcW w:type="dxa" w:w="792"/>
            <w:vAlign w:val="top"/>
          </w:tcPr>
          <w:p>
            <w:r>
              <w:t>P-004</w:t>
            </w:r>
          </w:p>
        </w:tc>
        <w:tc>
          <w:tcPr>
            <w:tcW w:type="dxa" w:w="2376"/>
            <w:vAlign w:val="top"/>
          </w:tcPr>
          <w:p>
            <w:r>
              <w:t>Data Lake Migration Foundation</w:t>
            </w:r>
          </w:p>
        </w:tc>
        <w:tc>
          <w:tcPr>
            <w:tcW w:type="dxa" w:w="1224"/>
            <w:vAlign w:val="top"/>
          </w:tcPr>
          <w:p>
            <w:r>
              <w:t>Unknown</w:t>
            </w:r>
          </w:p>
        </w:tc>
        <w:tc>
          <w:tcPr>
            <w:tcW w:type="dxa" w:w="720"/>
            <w:vAlign w:val="top"/>
          </w:tcPr>
          <w:p>
            <w:r>
              <w:t>57.0</w:t>
            </w:r>
          </w:p>
        </w:tc>
        <w:tc>
          <w:tcPr>
            <w:tcW w:type="dxa" w:w="1080"/>
            <w:vAlign w:val="top"/>
          </w:tcPr>
          <w:p>
            <w:r>
              <w:t>Low</w:t>
            </w:r>
          </w:p>
        </w:tc>
        <w:tc>
          <w:tcPr>
            <w:tcW w:type="dxa" w:w="3384"/>
            <w:vAlign w:val="top"/>
          </w:tcPr>
          <w:p>
            <w:r>
              <w:t>Hold for governance clarity</w:t>
            </w:r>
          </w:p>
        </w:tc>
      </w:tr>
    </w:tbl>
    <w:p>
      <w:pPr>
        <w:pStyle w:val="Heading1"/>
      </w:pPr>
      <w:r>
        <w:t>Scoring Criteria and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t>Criterion</w:t>
            </w:r>
          </w:p>
        </w:tc>
        <w:tc>
          <w:tcPr>
            <w:tcW w:type="dxa" w:w="864"/>
            <w:shd w:fill="D9EAF7"/>
          </w:tcPr>
          <w:p>
            <w:r>
              <w:t>Weight</w:t>
            </w:r>
          </w:p>
        </w:tc>
        <w:tc>
          <w:tcPr>
            <w:tcW w:type="dxa" w:w="6768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2592"/>
          </w:tcPr>
          <w:p>
            <w:r>
              <w:t>Strategic alignment</w:t>
            </w:r>
          </w:p>
        </w:tc>
        <w:tc>
          <w:tcPr>
            <w:tcW w:type="dxa" w:w="864"/>
          </w:tcPr>
          <w:p>
            <w:r>
              <w:t>25%</w:t>
            </w:r>
          </w:p>
        </w:tc>
        <w:tc>
          <w:tcPr>
            <w:tcW w:type="dxa" w:w="6768"/>
          </w:tcPr>
          <w:p>
            <w:r>
              <w:t>How directly the initiative supports declared strategy.</w:t>
            </w:r>
          </w:p>
        </w:tc>
      </w:tr>
      <w:tr>
        <w:tc>
          <w:tcPr>
            <w:tcW w:type="dxa" w:w="2592"/>
          </w:tcPr>
          <w:p>
            <w:r>
              <w:t>Financial or mission value</w:t>
            </w:r>
          </w:p>
        </w:tc>
        <w:tc>
          <w:tcPr>
            <w:tcW w:type="dxa" w:w="864"/>
          </w:tcPr>
          <w:p>
            <w:r>
              <w:t>15%</w:t>
            </w:r>
          </w:p>
        </w:tc>
        <w:tc>
          <w:tcPr>
            <w:tcW w:type="dxa" w:w="6768"/>
          </w:tcPr>
          <w:p>
            <w:r>
              <w:t>Expected financial, mission, or enterprise benefit.</w:t>
            </w:r>
          </w:p>
        </w:tc>
      </w:tr>
      <w:tr>
        <w:tc>
          <w:tcPr>
            <w:tcW w:type="dxa" w:w="2592"/>
          </w:tcPr>
          <w:p>
            <w:r>
              <w:t>Customer or operational impact</w:t>
            </w:r>
          </w:p>
        </w:tc>
        <w:tc>
          <w:tcPr>
            <w:tcW w:type="dxa" w:w="864"/>
          </w:tcPr>
          <w:p>
            <w:r>
              <w:t>15%</w:t>
            </w:r>
          </w:p>
        </w:tc>
        <w:tc>
          <w:tcPr>
            <w:tcW w:type="dxa" w:w="6768"/>
          </w:tcPr>
          <w:p>
            <w:r>
              <w:t>Degree of external/customer or internal operating impact.</w:t>
            </w:r>
          </w:p>
        </w:tc>
      </w:tr>
      <w:tr>
        <w:tc>
          <w:tcPr>
            <w:tcW w:type="dxa" w:w="2592"/>
          </w:tcPr>
          <w:p>
            <w:r>
              <w:t>Risk reduction or compliance criticality</w:t>
            </w:r>
          </w:p>
        </w:tc>
        <w:tc>
          <w:tcPr>
            <w:tcW w:type="dxa" w:w="864"/>
          </w:tcPr>
          <w:p>
            <w:r>
              <w:t>15%</w:t>
            </w:r>
          </w:p>
        </w:tc>
        <w:tc>
          <w:tcPr>
            <w:tcW w:type="dxa" w:w="6768"/>
          </w:tcPr>
          <w:p>
            <w:r>
              <w:t>Value of reducing or addressing risk and compliance exposure.</w:t>
            </w:r>
          </w:p>
        </w:tc>
      </w:tr>
      <w:tr>
        <w:tc>
          <w:tcPr>
            <w:tcW w:type="dxa" w:w="2592"/>
          </w:tcPr>
          <w:p>
            <w:r>
              <w:t>Dependency enablement</w:t>
            </w:r>
          </w:p>
        </w:tc>
        <w:tc>
          <w:tcPr>
            <w:tcW w:type="dxa" w:w="864"/>
          </w:tcPr>
          <w:p>
            <w:r>
              <w:t>10%</w:t>
            </w:r>
          </w:p>
        </w:tc>
        <w:tc>
          <w:tcPr>
            <w:tcW w:type="dxa" w:w="6768"/>
          </w:tcPr>
          <w:p>
            <w:r>
              <w:t>Extent to which the initiative enables other portfolio work.</w:t>
            </w:r>
          </w:p>
        </w:tc>
      </w:tr>
      <w:tr>
        <w:tc>
          <w:tcPr>
            <w:tcW w:type="dxa" w:w="2592"/>
          </w:tcPr>
          <w:p>
            <w:r>
              <w:t>Readiness and confidence</w:t>
            </w:r>
          </w:p>
        </w:tc>
        <w:tc>
          <w:tcPr>
            <w:tcW w:type="dxa" w:w="864"/>
          </w:tcPr>
          <w:p>
            <w:r>
              <w:t>10%</w:t>
            </w:r>
          </w:p>
        </w:tc>
        <w:tc>
          <w:tcPr>
            <w:tcW w:type="dxa" w:w="6768"/>
          </w:tcPr>
          <w:p>
            <w:r>
              <w:t>Confidence in scope, sponsorship, estimates, approach, and readiness.</w:t>
            </w:r>
          </w:p>
        </w:tc>
      </w:tr>
      <w:tr>
        <w:tc>
          <w:tcPr>
            <w:tcW w:type="dxa" w:w="2592"/>
          </w:tcPr>
          <w:p>
            <w:r>
              <w:t>Effort or cost feasibility</w:t>
            </w:r>
          </w:p>
        </w:tc>
        <w:tc>
          <w:tcPr>
            <w:tcW w:type="dxa" w:w="864"/>
          </w:tcPr>
          <w:p>
            <w:r>
              <w:t>10%</w:t>
            </w:r>
          </w:p>
        </w:tc>
        <w:tc>
          <w:tcPr>
            <w:tcW w:type="dxa" w:w="6768"/>
          </w:tcPr>
          <w:p>
            <w:r>
              <w:t>Affordability and execution feasibility; higher is more feasible.</w:t>
            </w:r>
          </w:p>
        </w:tc>
      </w:tr>
    </w:tbl>
    <w:p>
      <w:pPr>
        <w:pStyle w:val="Heading1"/>
      </w:pPr>
      <w:r>
        <w:t>Budget and Capacity View</w:t>
      </w:r>
    </w:p>
    <w:p>
      <w:r>
        <w:t>Total estimated spend: $6,100,000</w:t>
      </w:r>
    </w:p>
    <w:p>
      <w:r>
        <w:t>Total estimated capacity demand: 189 FTE-months</w:t>
      </w:r>
    </w:p>
    <w:p>
      <w:r>
        <w:t>Constraint scenario: $3.0M and 80 FTE-months available. Mandatory work should be protected first. P-003 is the strongest near-term discretionary fit under this constraint. P-002 requires board-level trade-off due to high value but heavier cost and dependency load. P-004 should remain on hold until governance gaps are resolved.</w:t>
      </w:r>
    </w:p>
    <w:p>
      <w:pPr>
        <w:pStyle w:val="Heading1"/>
      </w:pPr>
      <w:r>
        <w:t>Governance Flags</w:t>
      </w:r>
    </w:p>
    <w:p>
      <w:pPr>
        <w:pStyle w:val="ListBullet"/>
      </w:pPr>
      <w:r>
        <w:t>P-004 - Missing or unclear sponsor; Missing or unclear decision authority; Missing or unclear mandatory status</w:t>
      </w:r>
    </w:p>
    <w:p>
      <w:pPr>
        <w:pStyle w:val="Heading1"/>
      </w:pPr>
      <w:r>
        <w:t>Human Decisions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</w:tcPr>
          <w:p>
            <w:r>
              <w:t>Decision</w:t>
            </w:r>
          </w:p>
        </w:tc>
        <w:tc>
          <w:tcPr>
            <w:tcW w:type="dxa" w:w="3504"/>
            <w:shd w:fill="D9EAF7"/>
          </w:tcPr>
          <w:p>
            <w:r>
              <w:t>Owner</w:t>
            </w:r>
          </w:p>
        </w:tc>
        <w:tc>
          <w:tcPr>
            <w:tcW w:type="dxa" w:w="3504"/>
            <w:shd w:fill="D9EAF7"/>
          </w:tcPr>
          <w:p>
            <w:r>
              <w:t>Evidence needed</w:t>
            </w:r>
          </w:p>
        </w:tc>
      </w:tr>
      <w:tr>
        <w:tc>
          <w:tcPr>
            <w:tcW w:type="dxa" w:w="3504"/>
          </w:tcPr>
          <w:p>
            <w:r>
              <w:t>Protect P-001 mandatory compliance capacity</w:t>
            </w:r>
          </w:p>
        </w:tc>
        <w:tc>
          <w:tcPr>
            <w:tcW w:type="dxa" w:w="3504"/>
          </w:tcPr>
          <w:p>
            <w:r>
              <w:t>Portfolio Board</w:t>
            </w:r>
          </w:p>
        </w:tc>
        <w:tc>
          <w:tcPr>
            <w:tcW w:type="dxa" w:w="3504"/>
          </w:tcPr>
          <w:p>
            <w:r>
              <w:t>Deadline, capacity, and dependency plan</w:t>
            </w:r>
          </w:p>
        </w:tc>
      </w:tr>
      <w:tr>
        <w:tc>
          <w:tcPr>
            <w:tcW w:type="dxa" w:w="3504"/>
          </w:tcPr>
          <w:p>
            <w:r>
              <w:t>Confirm P-003 decision authority</w:t>
            </w:r>
          </w:p>
        </w:tc>
        <w:tc>
          <w:tcPr>
            <w:tcW w:type="dxa" w:w="3504"/>
          </w:tcPr>
          <w:p>
            <w:r>
              <w:t>Portfolio Board / Operations Council</w:t>
            </w:r>
          </w:p>
        </w:tc>
        <w:tc>
          <w:tcPr>
            <w:tcW w:type="dxa" w:w="3504"/>
          </w:tcPr>
          <w:p>
            <w:r>
              <w:t>Funding authority and capacity source</w:t>
            </w:r>
          </w:p>
        </w:tc>
      </w:tr>
      <w:tr>
        <w:tc>
          <w:tcPr>
            <w:tcW w:type="dxa" w:w="3504"/>
          </w:tcPr>
          <w:p>
            <w:r>
              <w:t>Decide whether P-002 fits near-term funding window</w:t>
            </w:r>
          </w:p>
        </w:tc>
        <w:tc>
          <w:tcPr>
            <w:tcW w:type="dxa" w:w="3504"/>
          </w:tcPr>
          <w:p>
            <w:r>
              <w:t>Portfolio Board</w:t>
            </w:r>
          </w:p>
        </w:tc>
        <w:tc>
          <w:tcPr>
            <w:tcW w:type="dxa" w:w="3504"/>
          </w:tcPr>
          <w:p>
            <w:r>
              <w:t>Dependency readiness and budget trade-off</w:t>
            </w:r>
          </w:p>
        </w:tc>
      </w:tr>
      <w:tr>
        <w:tc>
          <w:tcPr>
            <w:tcW w:type="dxa" w:w="3504"/>
          </w:tcPr>
          <w:p>
            <w:r>
              <w:t>Resolve P-004 sponsor and decision authority</w:t>
            </w:r>
          </w:p>
        </w:tc>
        <w:tc>
          <w:tcPr>
            <w:tcW w:type="dxa" w:w="3504"/>
          </w:tcPr>
          <w:p>
            <w:r>
              <w:t>Portfolio Board / executive sponsor</w:t>
            </w:r>
          </w:p>
        </w:tc>
        <w:tc>
          <w:tcPr>
            <w:tcW w:type="dxa" w:w="3504"/>
          </w:tcPr>
          <w:p>
            <w:r>
              <w:t>Named sponsor and governance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Portfolio Prioritization Scoring Agent - Synthetic sample - Advisory output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