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Case: Field Service Dispatch and Parts Readiness Modernization</w:t>
      </w:r>
    </w:p>
    <w:p>
      <w:pPr>
        <w:jc w:val="center"/>
      </w:pPr>
      <w:r>
        <w:t>Decision document for approval, prioritization, funding, or governance review</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AF2F8"/>
          </w:tcPr>
          <w:p>
            <w:r>
              <w:rPr>
                <w:b/>
                <w:sz w:val="16"/>
              </w:rPr>
              <w:t>Field</w:t>
            </w:r>
          </w:p>
        </w:tc>
        <w:tc>
          <w:tcPr>
            <w:tcW w:type="dxa" w:w="5328"/>
            <w:vAlign w:val="top"/>
            <w:shd w:fill="EAF2F8"/>
          </w:tcPr>
          <w:p>
            <w:r>
              <w:rPr>
                <w:b/>
                <w:sz w:val="16"/>
              </w:rPr>
              <w:t>Detail</w:t>
            </w:r>
          </w:p>
        </w:tc>
      </w:tr>
      <w:tr>
        <w:tc>
          <w:tcPr>
            <w:tcW w:type="dxa" w:w="5328"/>
            <w:vAlign w:val="top"/>
          </w:tcPr>
          <w:p>
            <w:r>
              <w:rPr>
                <w:sz w:val="16"/>
              </w:rPr>
              <w:t>Prepared for</w:t>
            </w:r>
          </w:p>
        </w:tc>
        <w:tc>
          <w:tcPr>
            <w:tcW w:type="dxa" w:w="5328"/>
            <w:vAlign w:val="top"/>
          </w:tcPr>
          <w:p>
            <w:r>
              <w:rPr>
                <w:sz w:val="16"/>
              </w:rPr>
              <w:t>VP of Operations and CFO</w:t>
            </w:r>
          </w:p>
        </w:tc>
      </w:tr>
      <w:tr>
        <w:tc>
          <w:tcPr>
            <w:tcW w:type="dxa" w:w="5328"/>
            <w:vAlign w:val="top"/>
          </w:tcPr>
          <w:p>
            <w:r>
              <w:rPr>
                <w:sz w:val="16"/>
              </w:rPr>
              <w:t>Prepared by</w:t>
            </w:r>
          </w:p>
        </w:tc>
        <w:tc>
          <w:tcPr>
            <w:tcW w:type="dxa" w:w="5328"/>
            <w:vAlign w:val="top"/>
          </w:tcPr>
          <w:p>
            <w:r>
              <w:rPr>
                <w:sz w:val="16"/>
              </w:rPr>
              <w:t>Business Operations Team</w:t>
            </w:r>
          </w:p>
        </w:tc>
      </w:tr>
      <w:tr>
        <w:tc>
          <w:tcPr>
            <w:tcW w:type="dxa" w:w="5328"/>
            <w:vAlign w:val="top"/>
          </w:tcPr>
          <w:p>
            <w:r>
              <w:rPr>
                <w:sz w:val="16"/>
              </w:rPr>
              <w:t>Date</w:t>
            </w:r>
          </w:p>
        </w:tc>
        <w:tc>
          <w:tcPr>
            <w:tcW w:type="dxa" w:w="5328"/>
            <w:vAlign w:val="top"/>
          </w:tcPr>
          <w:p>
            <w:r>
              <w:rPr>
                <w:sz w:val="16"/>
              </w:rPr>
              <w:t>2026-05-27</w:t>
            </w:r>
          </w:p>
        </w:tc>
      </w:tr>
      <w:tr>
        <w:tc>
          <w:tcPr>
            <w:tcW w:type="dxa" w:w="5328"/>
            <w:vAlign w:val="top"/>
          </w:tcPr>
          <w:p>
            <w:r>
              <w:rPr>
                <w:sz w:val="16"/>
              </w:rPr>
              <w:t>Version</w:t>
            </w:r>
          </w:p>
        </w:tc>
        <w:tc>
          <w:tcPr>
            <w:tcW w:type="dxa" w:w="5328"/>
            <w:vAlign w:val="top"/>
          </w:tcPr>
          <w:p>
            <w:r>
              <w:rPr>
                <w:sz w:val="16"/>
              </w:rPr>
              <w:t>Sample Draft</w:t>
            </w:r>
          </w:p>
        </w:tc>
      </w:tr>
      <w:tr>
        <w:tc>
          <w:tcPr>
            <w:tcW w:type="dxa" w:w="5328"/>
            <w:vAlign w:val="top"/>
          </w:tcPr>
          <w:p>
            <w:r>
              <w:rPr>
                <w:sz w:val="16"/>
              </w:rPr>
              <w:t>Classification</w:t>
            </w:r>
          </w:p>
        </w:tc>
        <w:tc>
          <w:tcPr>
            <w:tcW w:type="dxa" w:w="5328"/>
            <w:vAlign w:val="top"/>
          </w:tcPr>
          <w:p>
            <w:r>
              <w:rPr>
                <w:sz w:val="16"/>
              </w:rPr>
              <w:t>Internal - Demonstration Data</w:t>
            </w:r>
          </w:p>
        </w:tc>
      </w:tr>
      <w:tr>
        <w:tc>
          <w:tcPr>
            <w:tcW w:type="dxa" w:w="5328"/>
            <w:vAlign w:val="top"/>
          </w:tcPr>
          <w:p>
            <w:r>
              <w:rPr>
                <w:sz w:val="16"/>
              </w:rPr>
              <w:t>Audience</w:t>
            </w:r>
          </w:p>
        </w:tc>
        <w:tc>
          <w:tcPr>
            <w:tcW w:type="dxa" w:w="5328"/>
            <w:vAlign w:val="top"/>
          </w:tcPr>
          <w:p>
            <w:r>
              <w:rPr>
                <w:sz w:val="16"/>
              </w:rPr>
              <w:t>Multi-audience: CFO, operations, and technology leadership</w:t>
            </w:r>
          </w:p>
        </w:tc>
      </w:tr>
    </w:tbl>
    <w:p>
      <w:pPr>
        <w:pStyle w:val="Heading1"/>
      </w:pPr>
      <w:r>
        <w:t>Executive Summary</w:t>
      </w:r>
    </w:p>
    <w:p>
      <w:r>
        <w:t>The Problem: Field service teams are losing dispatch productivity and customer appointment reliability because technician routing, parts readiness, and exception escalation are managed across disconnected tools and inconsistent local practices.</w:t>
      </w:r>
    </w:p>
    <w:p>
      <w:r>
        <w:t>The Recommendation: Approve Option 2: a two-region dispatch and parts readiness pilot with defined readiness gates, exception ownership, and operating metrics before any national rollout.</w:t>
      </w:r>
    </w:p>
    <w:p>
      <w:r>
        <w:t>The Financial Case: $690,000 investment; $2,020,000 annual hard benefit; Approximately 4.1 months after scaled run-rate payback.</w:t>
      </w:r>
    </w:p>
    <w:p>
      <w:r>
        <w:t>The Primary Risk: Supervisor adoption risk: supervisors may bypass readiness gates under daily schedule pressure.</w:t>
      </w:r>
    </w:p>
    <w:p>
      <w:r>
        <w:t>The Ask: Approve a $690,000 Year 1 investment to implement dispatch optimization, parts readiness controls, and governance reporting across two pilot regions. Decision requested from VP of Operations, with CFO funding approval by Decision requested by 2026-06-30 to begin pilot mobilization in July.. A delay past June 30 defers pilot benefits by at least one quarter and preserves an estimated $190,000 per month in avoidable repeat visits, overtime, and expedited parts costs.</w:t>
      </w:r>
    </w:p>
    <w:p>
      <w:pPr>
        <w:pStyle w:val="Heading1"/>
      </w:pPr>
      <w:r>
        <w:t>Decision Request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AF2F8"/>
          </w:tcPr>
          <w:p>
            <w:r>
              <w:rPr>
                <w:b/>
                <w:sz w:val="16"/>
              </w:rPr>
              <w:t>Field</w:t>
            </w:r>
          </w:p>
        </w:tc>
        <w:tc>
          <w:tcPr>
            <w:tcW w:type="dxa" w:w="5328"/>
            <w:vAlign w:val="top"/>
            <w:shd w:fill="EAF2F8"/>
          </w:tcPr>
          <w:p>
            <w:r>
              <w:rPr>
                <w:b/>
                <w:sz w:val="16"/>
              </w:rPr>
              <w:t>Detail</w:t>
            </w:r>
          </w:p>
        </w:tc>
      </w:tr>
      <w:tr>
        <w:tc>
          <w:tcPr>
            <w:tcW w:type="dxa" w:w="5328"/>
            <w:vAlign w:val="top"/>
          </w:tcPr>
          <w:p>
            <w:r>
              <w:rPr>
                <w:sz w:val="16"/>
              </w:rPr>
              <w:t>Decision needed</w:t>
            </w:r>
          </w:p>
        </w:tc>
        <w:tc>
          <w:tcPr>
            <w:tcW w:type="dxa" w:w="5328"/>
            <w:vAlign w:val="top"/>
          </w:tcPr>
          <w:p>
            <w:r>
              <w:rPr>
                <w:sz w:val="16"/>
              </w:rPr>
              <w:t>Approve Phase 1 implementation funding and authorize a controlled pilot before enterprise rollout.</w:t>
            </w:r>
          </w:p>
        </w:tc>
      </w:tr>
      <w:tr>
        <w:tc>
          <w:tcPr>
            <w:tcW w:type="dxa" w:w="5328"/>
            <w:vAlign w:val="top"/>
          </w:tcPr>
          <w:p>
            <w:r>
              <w:rPr>
                <w:sz w:val="16"/>
              </w:rPr>
              <w:t>Decision owner</w:t>
            </w:r>
          </w:p>
        </w:tc>
        <w:tc>
          <w:tcPr>
            <w:tcW w:type="dxa" w:w="5328"/>
            <w:vAlign w:val="top"/>
          </w:tcPr>
          <w:p>
            <w:r>
              <w:rPr>
                <w:sz w:val="16"/>
              </w:rPr>
              <w:t>VP of Operations, with CFO funding approval</w:t>
            </w:r>
          </w:p>
        </w:tc>
      </w:tr>
      <w:tr>
        <w:tc>
          <w:tcPr>
            <w:tcW w:type="dxa" w:w="5328"/>
            <w:vAlign w:val="top"/>
          </w:tcPr>
          <w:p>
            <w:r>
              <w:rPr>
                <w:sz w:val="16"/>
              </w:rPr>
              <w:t>Requested action</w:t>
            </w:r>
          </w:p>
        </w:tc>
        <w:tc>
          <w:tcPr>
            <w:tcW w:type="dxa" w:w="5328"/>
            <w:vAlign w:val="top"/>
          </w:tcPr>
          <w:p>
            <w:r>
              <w:rPr>
                <w:sz w:val="16"/>
              </w:rPr>
              <w:t>Approve a $690,000 Year 1 investment to implement dispatch optimization, parts readiness controls, and governance reporting across two pilot regions.</w:t>
            </w:r>
          </w:p>
        </w:tc>
      </w:tr>
      <w:tr>
        <w:tc>
          <w:tcPr>
            <w:tcW w:type="dxa" w:w="5328"/>
            <w:vAlign w:val="top"/>
          </w:tcPr>
          <w:p>
            <w:r>
              <w:rPr>
                <w:sz w:val="16"/>
              </w:rPr>
              <w:t>Decision timing</w:t>
            </w:r>
          </w:p>
        </w:tc>
        <w:tc>
          <w:tcPr>
            <w:tcW w:type="dxa" w:w="5328"/>
            <w:vAlign w:val="top"/>
          </w:tcPr>
          <w:p>
            <w:r>
              <w:rPr>
                <w:sz w:val="16"/>
              </w:rPr>
              <w:t>Decision requested by 2026-06-30 to begin pilot mobilization in July.</w:t>
            </w:r>
          </w:p>
        </w:tc>
      </w:tr>
      <w:tr>
        <w:tc>
          <w:tcPr>
            <w:tcW w:type="dxa" w:w="5328"/>
            <w:vAlign w:val="top"/>
          </w:tcPr>
          <w:p>
            <w:r>
              <w:rPr>
                <w:sz w:val="16"/>
              </w:rPr>
              <w:t>Consequence of delay</w:t>
            </w:r>
          </w:p>
        </w:tc>
        <w:tc>
          <w:tcPr>
            <w:tcW w:type="dxa" w:w="5328"/>
            <w:vAlign w:val="top"/>
          </w:tcPr>
          <w:p>
            <w:r>
              <w:rPr>
                <w:sz w:val="16"/>
              </w:rPr>
              <w:t>A delay past June 30 defers pilot benefits by at least one quarter and preserves an estimated $190,000 per month in avoidable repeat visits, overtime, and expedited parts costs.</w:t>
            </w:r>
          </w:p>
        </w:tc>
      </w:tr>
      <w:tr>
        <w:tc>
          <w:tcPr>
            <w:tcW w:type="dxa" w:w="5328"/>
            <w:vAlign w:val="top"/>
          </w:tcPr>
          <w:p>
            <w:r>
              <w:rPr>
                <w:sz w:val="16"/>
              </w:rPr>
              <w:t>Maturity score</w:t>
            </w:r>
          </w:p>
        </w:tc>
        <w:tc>
          <w:tcPr>
            <w:tcW w:type="dxa" w:w="5328"/>
            <w:vAlign w:val="top"/>
          </w:tcPr>
          <w:p>
            <w:r>
              <w:rPr>
                <w:sz w:val="16"/>
              </w:rPr>
              <w:t>35/35 - Executive-ready. Suitable for leadership review with normal validation.</w:t>
            </w:r>
          </w:p>
        </w:tc>
      </w:tr>
    </w:tbl>
    <w:p>
      <w:pPr>
        <w:pStyle w:val="Heading1"/>
      </w:pPr>
      <w:r>
        <w:t>1. Problem Statement &amp; Business Need</w:t>
      </w:r>
    </w:p>
    <w:p>
      <w:pPr>
        <w:pStyle w:val="Heading2"/>
      </w:pPr>
      <w:r>
        <w:t>1.1 Observable Symptoms</w:t>
      </w:r>
    </w:p>
    <w:p>
      <w:pPr>
        <w:pStyle w:val="ListBullet"/>
      </w:pPr>
      <w:r>
        <w:t>First-time fix rate is estimated at 71% against an internal target of 82%.</w:t>
      </w:r>
    </w:p>
    <w:p>
      <w:pPr>
        <w:pStyle w:val="ListBullet"/>
      </w:pPr>
      <w:r>
        <w:t>Technicians report arriving without required parts on roughly 14% of service visits.</w:t>
      </w:r>
    </w:p>
    <w:p>
      <w:pPr>
        <w:pStyle w:val="ListBullet"/>
      </w:pPr>
      <w:r>
        <w:t>Dispatch supervisors manually rebalance schedules late in the day three to four times per week.</w:t>
      </w:r>
    </w:p>
    <w:p>
      <w:pPr>
        <w:pStyle w:val="Heading2"/>
      </w:pPr>
      <w:r>
        <w:t>1.2 Root Cause Analysis</w:t>
      </w:r>
    </w:p>
    <w:p>
      <w:r>
        <w:t>The working hypothesis is that the issue is not technician capacity alone; it is fragmented dispatch planning and weak parts-readiness governance before the appointment is committed.</w:t>
      </w:r>
    </w:p>
    <w:p>
      <w:pPr>
        <w:pStyle w:val="Heading2"/>
      </w:pPr>
      <w:r>
        <w:t>1.3 Root-Cause Challenge</w:t>
      </w:r>
    </w:p>
    <w:p>
      <w:r>
        <w:t>The common diagnosis is that the organization needs more technicians. The evidence suggests capacity pressure is real, but avoidable repeat visits and late schedule changes are consuming capacity that should first be recovered through process, data, and governance improvements.</w:t>
      </w:r>
    </w:p>
    <w:p>
      <w:pPr>
        <w:pStyle w:val="Heading2"/>
      </w:pPr>
      <w:r>
        <w:t>1.4 Quantified Impact of Status Quo</w:t>
      </w:r>
    </w:p>
    <w:p>
      <w:r>
        <w:t>$2.3M estimated annual cost of inaction, based on $1.15M repeat-visit labor cost, $620K overtime and expedited parts cost, and $530K revenue leakage from missed same-week appointments.</w:t>
      </w:r>
    </w:p>
    <w:p>
      <w:pPr>
        <w:pStyle w:val="Heading2"/>
      </w:pPr>
      <w:r>
        <w:t>1.5 Scope Definition</w:t>
      </w:r>
    </w:p>
    <w:p>
      <w:r>
        <w:t>In scope:</w:t>
      </w:r>
    </w:p>
    <w:p>
      <w:pPr>
        <w:pStyle w:val="ListBullet"/>
      </w:pPr>
      <w:r>
        <w:t>Two-region pilot</w:t>
      </w:r>
    </w:p>
    <w:p>
      <w:pPr>
        <w:pStyle w:val="ListBullet"/>
      </w:pPr>
      <w:r>
        <w:t>Dispatch readiness workflow</w:t>
      </w:r>
    </w:p>
    <w:p>
      <w:pPr>
        <w:pStyle w:val="ListBullet"/>
      </w:pPr>
      <w:r>
        <w:t>Parts availability checks</w:t>
      </w:r>
    </w:p>
    <w:p>
      <w:pPr>
        <w:pStyle w:val="ListBullet"/>
      </w:pPr>
      <w:r>
        <w:t>Supervisor exception queue</w:t>
      </w:r>
    </w:p>
    <w:p>
      <w:pPr>
        <w:pStyle w:val="ListBullet"/>
      </w:pPr>
      <w:r>
        <w:t>Operational metrics dashboard</w:t>
      </w:r>
    </w:p>
    <w:p>
      <w:pPr>
        <w:pStyle w:val="ListBullet"/>
      </w:pPr>
      <w:r>
        <w:t>Change-management and training plan</w:t>
      </w:r>
    </w:p>
    <w:p>
      <w:r>
        <w:t>Out of scope:</w:t>
      </w:r>
    </w:p>
    <w:p>
      <w:pPr>
        <w:pStyle w:val="ListBullet"/>
      </w:pPr>
      <w:r>
        <w:t>Full ERP replacement</w:t>
      </w:r>
    </w:p>
    <w:p>
      <w:pPr>
        <w:pStyle w:val="ListBullet"/>
      </w:pPr>
      <w:r>
        <w:t>Technician compensation redesign</w:t>
      </w:r>
    </w:p>
    <w:p>
      <w:pPr>
        <w:pStyle w:val="ListBullet"/>
      </w:pPr>
      <w:r>
        <w:t>National rollout before pilot exit criteria</w:t>
      </w:r>
    </w:p>
    <w:p>
      <w:pPr>
        <w:pStyle w:val="ListBullet"/>
      </w:pPr>
      <w:r>
        <w:t>Warehouse network redesign</w:t>
      </w:r>
    </w:p>
    <w:p>
      <w:pPr>
        <w:pStyle w:val="Heading2"/>
      </w:pPr>
      <w:r>
        <w:t>1.6 Urgency Drivers</w:t>
      </w:r>
    </w:p>
    <w:p>
      <w:r>
        <w:t>Peak service season begins in Q4. If the pilot does not start in July, the organization will enter peak season without validated routing and parts-readiness controls.</w:t>
      </w:r>
    </w:p>
    <w:p>
      <w:pPr>
        <w:pStyle w:val="Heading1"/>
      </w:pPr>
      <w:r>
        <w:t>2. Strategic Alignment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AF2F8"/>
          </w:tcPr>
          <w:p>
            <w:r>
              <w:rPr>
                <w:b/>
                <w:sz w:val="16"/>
              </w:rPr>
              <w:t>Organizational Priority</w:t>
            </w:r>
          </w:p>
        </w:tc>
        <w:tc>
          <w:tcPr>
            <w:tcW w:type="dxa" w:w="5328"/>
            <w:vAlign w:val="top"/>
            <w:shd w:fill="EAF2F8"/>
          </w:tcPr>
          <w:p>
            <w:r>
              <w:rPr>
                <w:b/>
                <w:sz w:val="16"/>
              </w:rPr>
              <w:t>Connection to Initiative</w:t>
            </w:r>
          </w:p>
        </w:tc>
      </w:tr>
      <w:tr>
        <w:tc>
          <w:tcPr>
            <w:tcW w:type="dxa" w:w="5328"/>
            <w:vAlign w:val="top"/>
          </w:tcPr>
          <w:p>
            <w:r>
              <w:rPr>
                <w:sz w:val="16"/>
              </w:rPr>
              <w:t>Improve customer appointment reliability</w:t>
            </w:r>
          </w:p>
        </w:tc>
        <w:tc>
          <w:tcPr>
            <w:tcW w:type="dxa" w:w="5328"/>
            <w:vAlign w:val="top"/>
          </w:tcPr>
          <w:p>
            <w:r>
              <w:rPr>
                <w:sz w:val="16"/>
              </w:rPr>
              <w:t>Reduces missed service windows and repeat visits.</w:t>
            </w:r>
          </w:p>
        </w:tc>
      </w:tr>
      <w:tr>
        <w:tc>
          <w:tcPr>
            <w:tcW w:type="dxa" w:w="5328"/>
            <w:vAlign w:val="top"/>
          </w:tcPr>
          <w:p>
            <w:r>
              <w:rPr>
                <w:sz w:val="16"/>
              </w:rPr>
              <w:t>Protect operating margin</w:t>
            </w:r>
          </w:p>
        </w:tc>
        <w:tc>
          <w:tcPr>
            <w:tcW w:type="dxa" w:w="5328"/>
            <w:vAlign w:val="top"/>
          </w:tcPr>
          <w:p>
            <w:r>
              <w:rPr>
                <w:sz w:val="16"/>
              </w:rPr>
              <w:t>Targets overtime, truck rolls, expedited parts, and avoidable rework.</w:t>
            </w:r>
          </w:p>
        </w:tc>
      </w:tr>
      <w:tr>
        <w:tc>
          <w:tcPr>
            <w:tcW w:type="dxa" w:w="5328"/>
            <w:vAlign w:val="top"/>
          </w:tcPr>
          <w:p>
            <w:r>
              <w:rPr>
                <w:sz w:val="16"/>
              </w:rPr>
              <w:t>Standardize field operating model</w:t>
            </w:r>
          </w:p>
        </w:tc>
        <w:tc>
          <w:tcPr>
            <w:tcW w:type="dxa" w:w="5328"/>
            <w:vAlign w:val="top"/>
          </w:tcPr>
          <w:p>
            <w:r>
              <w:rPr>
                <w:sz w:val="16"/>
              </w:rPr>
              <w:t>Creates common readiness gates and escalation paths across regions.</w:t>
            </w:r>
          </w:p>
        </w:tc>
      </w:tr>
    </w:tbl>
    <w:p>
      <w:pPr>
        <w:pStyle w:val="Heading1"/>
      </w:pPr>
      <w:r>
        <w:t>3. Current State Assessment</w:t>
      </w:r>
    </w:p>
    <w:p>
      <w:r>
        <w:t>Dispatch, inventory, and work-order readiness data are reviewed in separate systems. Supervisors reconcile exceptions manually, and there is no consistent pre-appointment gate confirming technician skill, part availability, and customer readiness before a visit is locked.</w:t>
      </w:r>
    </w:p>
    <w:p>
      <w:pPr>
        <w:pStyle w:val="Heading2"/>
      </w:pPr>
      <w:r>
        <w:t>Baseline Performance Metrics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EAF2F8"/>
          </w:tcPr>
          <w:p>
            <w:r>
              <w:rPr>
                <w:b/>
                <w:sz w:val="16"/>
              </w:rPr>
              <w:t>Metric</w:t>
            </w:r>
          </w:p>
        </w:tc>
        <w:tc>
          <w:tcPr>
            <w:tcW w:type="dxa" w:w="2664"/>
            <w:vAlign w:val="top"/>
            <w:shd w:fill="EAF2F8"/>
          </w:tcPr>
          <w:p>
            <w:r>
              <w:rPr>
                <w:b/>
                <w:sz w:val="16"/>
              </w:rPr>
              <w:t>Current</w:t>
            </w:r>
          </w:p>
        </w:tc>
        <w:tc>
          <w:tcPr>
            <w:tcW w:type="dxa" w:w="2664"/>
            <w:vAlign w:val="top"/>
            <w:shd w:fill="EAF2F8"/>
          </w:tcPr>
          <w:p>
            <w:r>
              <w:rPr>
                <w:b/>
                <w:sz w:val="16"/>
              </w:rPr>
              <w:t>Target</w:t>
            </w:r>
          </w:p>
        </w:tc>
        <w:tc>
          <w:tcPr>
            <w:tcW w:type="dxa" w:w="2664"/>
            <w:vAlign w:val="top"/>
            <w:shd w:fill="EAF2F8"/>
          </w:tcPr>
          <w:p>
            <w:r>
              <w:rPr>
                <w:b/>
                <w:sz w:val="16"/>
              </w:rPr>
              <w:t>Gap</w:t>
            </w:r>
          </w:p>
        </w:tc>
      </w:tr>
      <w:tr>
        <w:tc>
          <w:tcPr>
            <w:tcW w:type="dxa" w:w="2664"/>
            <w:vAlign w:val="top"/>
          </w:tcPr>
          <w:p>
            <w:r>
              <w:rPr>
                <w:sz w:val="16"/>
              </w:rPr>
              <w:t>First-time fix rate</w:t>
            </w:r>
          </w:p>
        </w:tc>
        <w:tc>
          <w:tcPr>
            <w:tcW w:type="dxa" w:w="2664"/>
            <w:vAlign w:val="top"/>
          </w:tcPr>
          <w:p>
            <w:r>
              <w:rPr>
                <w:sz w:val="16"/>
              </w:rPr>
              <w:t>71%</w:t>
            </w:r>
          </w:p>
        </w:tc>
        <w:tc>
          <w:tcPr>
            <w:tcW w:type="dxa" w:w="2664"/>
            <w:vAlign w:val="top"/>
          </w:tcPr>
          <w:p>
            <w:r>
              <w:rPr>
                <w:sz w:val="16"/>
              </w:rPr>
              <w:t>82%</w:t>
            </w:r>
          </w:p>
        </w:tc>
        <w:tc>
          <w:tcPr>
            <w:tcW w:type="dxa" w:w="2664"/>
            <w:vAlign w:val="top"/>
          </w:tcPr>
          <w:p>
            <w:r>
              <w:rPr>
                <w:sz w:val="16"/>
              </w:rPr>
              <w:t>11 percentage points</w:t>
            </w:r>
          </w:p>
        </w:tc>
      </w:tr>
      <w:tr>
        <w:tc>
          <w:tcPr>
            <w:tcW w:type="dxa" w:w="2664"/>
            <w:vAlign w:val="top"/>
          </w:tcPr>
          <w:p>
            <w:r>
              <w:rPr>
                <w:sz w:val="16"/>
              </w:rPr>
              <w:t>Parts-not-ready visits</w:t>
            </w:r>
          </w:p>
        </w:tc>
        <w:tc>
          <w:tcPr>
            <w:tcW w:type="dxa" w:w="2664"/>
            <w:vAlign w:val="top"/>
          </w:tcPr>
          <w:p>
            <w:r>
              <w:rPr>
                <w:sz w:val="16"/>
              </w:rPr>
              <w:t>14%</w:t>
            </w:r>
          </w:p>
        </w:tc>
        <w:tc>
          <w:tcPr>
            <w:tcW w:type="dxa" w:w="2664"/>
            <w:vAlign w:val="top"/>
          </w:tcPr>
          <w:p>
            <w:r>
              <w:rPr>
                <w:sz w:val="16"/>
              </w:rPr>
              <w:t>6%</w:t>
            </w:r>
          </w:p>
        </w:tc>
        <w:tc>
          <w:tcPr>
            <w:tcW w:type="dxa" w:w="2664"/>
            <w:vAlign w:val="top"/>
          </w:tcPr>
          <w:p>
            <w:r>
              <w:rPr>
                <w:sz w:val="16"/>
              </w:rPr>
              <w:t>8 percentage points</w:t>
            </w:r>
          </w:p>
        </w:tc>
      </w:tr>
      <w:tr>
        <w:tc>
          <w:tcPr>
            <w:tcW w:type="dxa" w:w="2664"/>
            <w:vAlign w:val="top"/>
          </w:tcPr>
          <w:p>
            <w:r>
              <w:rPr>
                <w:sz w:val="16"/>
              </w:rPr>
              <w:t>Average repeat truck rolls per month</w:t>
            </w:r>
          </w:p>
        </w:tc>
        <w:tc>
          <w:tcPr>
            <w:tcW w:type="dxa" w:w="2664"/>
            <w:vAlign w:val="top"/>
          </w:tcPr>
          <w:p>
            <w:r>
              <w:rPr>
                <w:sz w:val="16"/>
              </w:rPr>
              <w:t>420</w:t>
            </w:r>
          </w:p>
        </w:tc>
        <w:tc>
          <w:tcPr>
            <w:tcW w:type="dxa" w:w="2664"/>
            <w:vAlign w:val="top"/>
          </w:tcPr>
          <w:p>
            <w:r>
              <w:rPr>
                <w:sz w:val="16"/>
              </w:rPr>
              <w:t>250</w:t>
            </w:r>
          </w:p>
        </w:tc>
        <w:tc>
          <w:tcPr>
            <w:tcW w:type="dxa" w:w="2664"/>
            <w:vAlign w:val="top"/>
          </w:tcPr>
          <w:p>
            <w:r>
              <w:rPr>
                <w:sz w:val="16"/>
              </w:rPr>
              <w:t>170</w:t>
            </w:r>
          </w:p>
        </w:tc>
      </w:tr>
      <w:tr>
        <w:tc>
          <w:tcPr>
            <w:tcW w:type="dxa" w:w="2664"/>
            <w:vAlign w:val="top"/>
          </w:tcPr>
          <w:p>
            <w:r>
              <w:rPr>
                <w:sz w:val="16"/>
              </w:rPr>
              <w:t>Manual schedule rebalances</w:t>
            </w:r>
          </w:p>
        </w:tc>
        <w:tc>
          <w:tcPr>
            <w:tcW w:type="dxa" w:w="2664"/>
            <w:vAlign w:val="top"/>
          </w:tcPr>
          <w:p>
            <w:r>
              <w:rPr>
                <w:sz w:val="16"/>
              </w:rPr>
              <w:t>3-4 per week per region</w:t>
            </w:r>
          </w:p>
        </w:tc>
        <w:tc>
          <w:tcPr>
            <w:tcW w:type="dxa" w:w="2664"/>
            <w:vAlign w:val="top"/>
          </w:tcPr>
          <w:p>
            <w:r>
              <w:rPr>
                <w:sz w:val="16"/>
              </w:rPr>
              <w:t>1 or fewer</w:t>
            </w:r>
          </w:p>
        </w:tc>
        <w:tc>
          <w:tcPr>
            <w:tcW w:type="dxa" w:w="2664"/>
            <w:vAlign w:val="top"/>
          </w:tcPr>
          <w:p>
            <w:r>
              <w:rPr>
                <w:sz w:val="16"/>
              </w:rPr>
              <w:t>2-3 avoidable rebalances</w:t>
            </w:r>
          </w:p>
        </w:tc>
      </w:tr>
    </w:tbl>
    <w:p>
      <w:pPr>
        <w:pStyle w:val="Heading2"/>
      </w:pPr>
      <w:r>
        <w:t>Identified Gaps</w:t>
      </w:r>
    </w:p>
    <w:p>
      <w:r>
        <w:t>The organization has local heroics but not a repeatable readiness model. Dispatch decisions are optimized too late, parts gaps are discovered after commitments are made, and escalation ownership is unclear when a service order is at risk.</w:t>
      </w:r>
    </w:p>
    <w:p>
      <w:pPr>
        <w:pStyle w:val="Heading2"/>
      </w:pPr>
      <w:r>
        <w:t>Evidence Sources &amp; Limitations</w:t>
      </w:r>
    </w:p>
    <w:p>
      <w:r>
        <w:t>Baseline figures are fictional demonstration estimates. In a real case, they should be validated against work-order history, inventory availability, technician time logs, and customer appointment data.</w:t>
      </w:r>
    </w:p>
    <w:p>
      <w:pPr>
        <w:pStyle w:val="Heading1"/>
      </w:pPr>
      <w:r>
        <w:t>4. Options Analysis</w:t>
      </w:r>
    </w:p>
    <w:p>
      <w:pPr>
        <w:pStyle w:val="Heading2"/>
      </w:pPr>
      <w:r>
        <w:t>Evaluation Criteria</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EAF2F8"/>
          </w:tcPr>
          <w:p>
            <w:r>
              <w:rPr>
                <w:b/>
                <w:sz w:val="16"/>
              </w:rPr>
              <w:t>Criterion</w:t>
            </w:r>
          </w:p>
        </w:tc>
        <w:tc>
          <w:tcPr>
            <w:tcW w:type="dxa" w:w="3552"/>
            <w:vAlign w:val="top"/>
            <w:shd w:fill="EAF2F8"/>
          </w:tcPr>
          <w:p>
            <w:r>
              <w:rPr>
                <w:b/>
                <w:sz w:val="16"/>
              </w:rPr>
              <w:t>Weight</w:t>
            </w:r>
          </w:p>
        </w:tc>
        <w:tc>
          <w:tcPr>
            <w:tcW w:type="dxa" w:w="3552"/>
            <w:vAlign w:val="top"/>
            <w:shd w:fill="EAF2F8"/>
          </w:tcPr>
          <w:p>
            <w:r>
              <w:rPr>
                <w:b/>
                <w:sz w:val="16"/>
              </w:rPr>
              <w:t>Rationale</w:t>
            </w:r>
          </w:p>
        </w:tc>
      </w:tr>
      <w:tr>
        <w:tc>
          <w:tcPr>
            <w:tcW w:type="dxa" w:w="3552"/>
            <w:vAlign w:val="top"/>
          </w:tcPr>
          <w:p>
            <w:r>
              <w:rPr>
                <w:sz w:val="16"/>
              </w:rPr>
              <w:t>Speed to value</w:t>
            </w:r>
          </w:p>
        </w:tc>
        <w:tc>
          <w:tcPr>
            <w:tcW w:type="dxa" w:w="3552"/>
            <w:vAlign w:val="top"/>
          </w:tcPr>
          <w:p>
            <w:r>
              <w:rPr>
                <w:sz w:val="16"/>
              </w:rPr>
              <w:t>High</w:t>
            </w:r>
          </w:p>
        </w:tc>
        <w:tc>
          <w:tcPr>
            <w:tcW w:type="dxa" w:w="3552"/>
            <w:vAlign w:val="top"/>
          </w:tcPr>
          <w:p>
            <w:r>
              <w:rPr>
                <w:sz w:val="16"/>
              </w:rPr>
              <w:t>Pilot must begin before peak season.</w:t>
            </w:r>
          </w:p>
        </w:tc>
      </w:tr>
      <w:tr>
        <w:tc>
          <w:tcPr>
            <w:tcW w:type="dxa" w:w="3552"/>
            <w:vAlign w:val="top"/>
          </w:tcPr>
          <w:p>
            <w:r>
              <w:rPr>
                <w:sz w:val="16"/>
              </w:rPr>
              <w:t>Operational disruption</w:t>
            </w:r>
          </w:p>
        </w:tc>
        <w:tc>
          <w:tcPr>
            <w:tcW w:type="dxa" w:w="3552"/>
            <w:vAlign w:val="top"/>
          </w:tcPr>
          <w:p>
            <w:r>
              <w:rPr>
                <w:sz w:val="16"/>
              </w:rPr>
              <w:t>High</w:t>
            </w:r>
          </w:p>
        </w:tc>
        <w:tc>
          <w:tcPr>
            <w:tcW w:type="dxa" w:w="3552"/>
            <w:vAlign w:val="top"/>
          </w:tcPr>
          <w:p>
            <w:r>
              <w:rPr>
                <w:sz w:val="16"/>
              </w:rPr>
              <w:t>Field teams cannot absorb a heavy process redesign during active service periods.</w:t>
            </w:r>
          </w:p>
        </w:tc>
      </w:tr>
      <w:tr>
        <w:tc>
          <w:tcPr>
            <w:tcW w:type="dxa" w:w="3552"/>
            <w:vAlign w:val="top"/>
          </w:tcPr>
          <w:p>
            <w:r>
              <w:rPr>
                <w:sz w:val="16"/>
              </w:rPr>
              <w:t>Financial return</w:t>
            </w:r>
          </w:p>
        </w:tc>
        <w:tc>
          <w:tcPr>
            <w:tcW w:type="dxa" w:w="3552"/>
            <w:vAlign w:val="top"/>
          </w:tcPr>
          <w:p>
            <w:r>
              <w:rPr>
                <w:sz w:val="16"/>
              </w:rPr>
              <w:t>High</w:t>
            </w:r>
          </w:p>
        </w:tc>
        <w:tc>
          <w:tcPr>
            <w:tcW w:type="dxa" w:w="3552"/>
            <w:vAlign w:val="top"/>
          </w:tcPr>
          <w:p>
            <w:r>
              <w:rPr>
                <w:sz w:val="16"/>
              </w:rPr>
              <w:t>Funding approval depends on credible cost avoidance.</w:t>
            </w:r>
          </w:p>
        </w:tc>
      </w:tr>
      <w:tr>
        <w:tc>
          <w:tcPr>
            <w:tcW w:type="dxa" w:w="3552"/>
            <w:vAlign w:val="top"/>
          </w:tcPr>
          <w:p>
            <w:r>
              <w:rPr>
                <w:sz w:val="16"/>
              </w:rPr>
              <w:t>Scalability</w:t>
            </w:r>
          </w:p>
        </w:tc>
        <w:tc>
          <w:tcPr>
            <w:tcW w:type="dxa" w:w="3552"/>
            <w:vAlign w:val="top"/>
          </w:tcPr>
          <w:p>
            <w:r>
              <w:rPr>
                <w:sz w:val="16"/>
              </w:rPr>
              <w:t>Medium</w:t>
            </w:r>
          </w:p>
        </w:tc>
        <w:tc>
          <w:tcPr>
            <w:tcW w:type="dxa" w:w="3552"/>
            <w:vAlign w:val="top"/>
          </w:tcPr>
          <w:p>
            <w:r>
              <w:rPr>
                <w:sz w:val="16"/>
              </w:rPr>
              <w:t>Pilot design should extend to additional regions if validated.</w:t>
            </w:r>
          </w:p>
        </w:tc>
      </w:tr>
      <w:tr>
        <w:tc>
          <w:tcPr>
            <w:tcW w:type="dxa" w:w="3552"/>
            <w:vAlign w:val="top"/>
          </w:tcPr>
          <w:p>
            <w:r>
              <w:rPr>
                <w:sz w:val="16"/>
              </w:rPr>
              <w:t>Technology complexity</w:t>
            </w:r>
          </w:p>
        </w:tc>
        <w:tc>
          <w:tcPr>
            <w:tcW w:type="dxa" w:w="3552"/>
            <w:vAlign w:val="top"/>
          </w:tcPr>
          <w:p>
            <w:r>
              <w:rPr>
                <w:sz w:val="16"/>
              </w:rPr>
              <w:t>Medium</w:t>
            </w:r>
          </w:p>
        </w:tc>
        <w:tc>
          <w:tcPr>
            <w:tcW w:type="dxa" w:w="3552"/>
            <w:vAlign w:val="top"/>
          </w:tcPr>
          <w:p>
            <w:r>
              <w:rPr>
                <w:sz w:val="16"/>
              </w:rPr>
              <w:t>Integration risk must remain bounded in Phase 1.</w:t>
            </w:r>
          </w:p>
        </w:tc>
      </w:tr>
    </w:tbl>
    <w:p>
      <w:pPr>
        <w:pStyle w:val="Heading2"/>
      </w:pPr>
      <w:r>
        <w:t>Option Summaries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top"/>
            <w:shd w:fill="EAF2F8"/>
          </w:tcPr>
          <w:p>
            <w:r>
              <w:rPr>
                <w:b/>
                <w:sz w:val="16"/>
              </w:rPr>
              <w:t>Option</w:t>
            </w:r>
          </w:p>
        </w:tc>
        <w:tc>
          <w:tcPr>
            <w:tcW w:type="dxa" w:w="1522"/>
            <w:vAlign w:val="top"/>
            <w:shd w:fill="EAF2F8"/>
          </w:tcPr>
          <w:p>
            <w:r>
              <w:rPr>
                <w:b/>
                <w:sz w:val="16"/>
              </w:rPr>
              <w:t>Description</w:t>
            </w:r>
          </w:p>
        </w:tc>
        <w:tc>
          <w:tcPr>
            <w:tcW w:type="dxa" w:w="1522"/>
            <w:vAlign w:val="top"/>
            <w:shd w:fill="EAF2F8"/>
          </w:tcPr>
          <w:p>
            <w:r>
              <w:rPr>
                <w:b/>
                <w:sz w:val="16"/>
              </w:rPr>
              <w:t>Cost</w:t>
            </w:r>
          </w:p>
        </w:tc>
        <w:tc>
          <w:tcPr>
            <w:tcW w:type="dxa" w:w="1522"/>
            <w:vAlign w:val="top"/>
            <w:shd w:fill="EAF2F8"/>
          </w:tcPr>
          <w:p>
            <w:r>
              <w:rPr>
                <w:b/>
                <w:sz w:val="16"/>
              </w:rPr>
              <w:t>Timeline</w:t>
            </w:r>
          </w:p>
        </w:tc>
        <w:tc>
          <w:tcPr>
            <w:tcW w:type="dxa" w:w="1522"/>
            <w:vAlign w:val="top"/>
            <w:shd w:fill="EAF2F8"/>
          </w:tcPr>
          <w:p>
            <w:r>
              <w:rPr>
                <w:b/>
                <w:sz w:val="16"/>
              </w:rPr>
              <w:t>Benefits</w:t>
            </w:r>
          </w:p>
        </w:tc>
        <w:tc>
          <w:tcPr>
            <w:tcW w:type="dxa" w:w="1522"/>
            <w:vAlign w:val="top"/>
            <w:shd w:fill="EAF2F8"/>
          </w:tcPr>
          <w:p>
            <w:r>
              <w:rPr>
                <w:b/>
                <w:sz w:val="16"/>
              </w:rPr>
              <w:t>Tradeoffs</w:t>
            </w:r>
          </w:p>
        </w:tc>
        <w:tc>
          <w:tcPr>
            <w:tcW w:type="dxa" w:w="1522"/>
            <w:vAlign w:val="top"/>
            <w:shd w:fill="EAF2F8"/>
          </w:tcPr>
          <w:p>
            <w:r>
              <w:rPr>
                <w:b/>
                <w:sz w:val="16"/>
              </w:rPr>
              <w:t>Score / Rationale</w:t>
            </w:r>
          </w:p>
        </w:tc>
      </w:tr>
      <w:tr>
        <w:tc>
          <w:tcPr>
            <w:tcW w:type="dxa" w:w="1522"/>
            <w:vAlign w:val="top"/>
          </w:tcPr>
          <w:p>
            <w:r>
              <w:rPr>
                <w:sz w:val="16"/>
              </w:rPr>
              <w:t>Option 0: Do Nothing</w:t>
            </w:r>
          </w:p>
        </w:tc>
        <w:tc>
          <w:tcPr>
            <w:tcW w:type="dxa" w:w="1522"/>
            <w:vAlign w:val="top"/>
          </w:tcPr>
          <w:p>
            <w:r>
              <w:rPr>
                <w:sz w:val="16"/>
              </w:rPr>
              <w:t>Maintain current regional dispatch and parts-readiness practices.</w:t>
            </w:r>
          </w:p>
        </w:tc>
        <w:tc>
          <w:tcPr>
            <w:tcW w:type="dxa" w:w="1522"/>
            <w:vAlign w:val="top"/>
          </w:tcPr>
          <w:p>
            <w:r>
              <w:rPr>
                <w:sz w:val="16"/>
              </w:rPr>
              <w:t>$0 new investment; estimated $2.3M annual cost of inaction remains</w:t>
            </w:r>
          </w:p>
        </w:tc>
        <w:tc>
          <w:tcPr>
            <w:tcW w:type="dxa" w:w="1522"/>
            <w:vAlign w:val="top"/>
          </w:tcPr>
          <w:p>
            <w:r>
              <w:rPr>
                <w:sz w:val="16"/>
              </w:rPr>
              <w:t>No implementation</w:t>
            </w:r>
          </w:p>
        </w:tc>
        <w:tc>
          <w:tcPr>
            <w:tcW w:type="dxa" w:w="1522"/>
            <w:vAlign w:val="top"/>
          </w:tcPr>
          <w:p>
            <w:r>
              <w:rPr>
                <w:sz w:val="16"/>
              </w:rPr>
              <w:t>No change burden</w:t>
            </w:r>
          </w:p>
        </w:tc>
        <w:tc>
          <w:tcPr>
            <w:tcW w:type="dxa" w:w="1522"/>
            <w:vAlign w:val="top"/>
          </w:tcPr>
          <w:p>
            <w:r>
              <w:rPr>
                <w:sz w:val="16"/>
              </w:rPr>
              <w:t>Repeat visits and overtime continue; Peak season risk remains; No consistent governance baseline</w:t>
            </w:r>
          </w:p>
        </w:tc>
        <w:tc>
          <w:tcPr>
            <w:tcW w:type="dxa" w:w="1522"/>
            <w:vAlign w:val="top"/>
          </w:tcPr>
          <w:p>
            <w:r>
              <w:rPr>
                <w:sz w:val="16"/>
              </w:rPr>
              <w:t>1.8/5</w:t>
            </w:r>
          </w:p>
        </w:tc>
      </w:tr>
      <w:tr>
        <w:tc>
          <w:tcPr>
            <w:tcW w:type="dxa" w:w="1522"/>
            <w:vAlign w:val="top"/>
          </w:tcPr>
          <w:p>
            <w:r>
              <w:rPr>
                <w:sz w:val="16"/>
              </w:rPr>
              <w:t>Option 1: Add technician capacity</w:t>
            </w:r>
          </w:p>
        </w:tc>
        <w:tc>
          <w:tcPr>
            <w:tcW w:type="dxa" w:w="1522"/>
            <w:vAlign w:val="top"/>
          </w:tcPr>
          <w:p>
            <w:r>
              <w:rPr>
                <w:sz w:val="16"/>
              </w:rPr>
              <w:t>Hire or contract additional field technicians to absorb repeat visits and peak-season demand.</w:t>
            </w:r>
          </w:p>
        </w:tc>
        <w:tc>
          <w:tcPr>
            <w:tcW w:type="dxa" w:w="1522"/>
            <w:vAlign w:val="top"/>
          </w:tcPr>
          <w:p>
            <w:r>
              <w:rPr>
                <w:sz w:val="16"/>
              </w:rPr>
              <w:t>$1.1M annual run-rate estimate</w:t>
            </w:r>
          </w:p>
        </w:tc>
        <w:tc>
          <w:tcPr>
            <w:tcW w:type="dxa" w:w="1522"/>
            <w:vAlign w:val="top"/>
          </w:tcPr>
          <w:p>
            <w:r>
              <w:rPr>
                <w:sz w:val="16"/>
              </w:rPr>
              <w:t>4-6 months to recruit, onboard, and route effectively</w:t>
            </w:r>
          </w:p>
        </w:tc>
        <w:tc>
          <w:tcPr>
            <w:tcW w:type="dxa" w:w="1522"/>
            <w:vAlign w:val="top"/>
          </w:tcPr>
          <w:p>
            <w:r>
              <w:rPr>
                <w:sz w:val="16"/>
              </w:rPr>
              <w:t>Adds gross capacity; May reduce some backlog pressure</w:t>
            </w:r>
          </w:p>
        </w:tc>
        <w:tc>
          <w:tcPr>
            <w:tcW w:type="dxa" w:w="1522"/>
            <w:vAlign w:val="top"/>
          </w:tcPr>
          <w:p>
            <w:r>
              <w:rPr>
                <w:sz w:val="16"/>
              </w:rPr>
              <w:t>Does not fix parts readiness; Expensive recurring cost; Slow to impact peak season</w:t>
            </w:r>
          </w:p>
        </w:tc>
        <w:tc>
          <w:tcPr>
            <w:tcW w:type="dxa" w:w="1522"/>
            <w:vAlign w:val="top"/>
          </w:tcPr>
          <w:p>
            <w:r>
              <w:rPr>
                <w:sz w:val="16"/>
              </w:rPr>
              <w:t>2.6/5</w:t>
            </w:r>
          </w:p>
        </w:tc>
      </w:tr>
      <w:tr>
        <w:tc>
          <w:tcPr>
            <w:tcW w:type="dxa" w:w="1522"/>
            <w:vAlign w:val="top"/>
          </w:tcPr>
          <w:p>
            <w:r>
              <w:rPr>
                <w:sz w:val="16"/>
              </w:rPr>
              <w:t>Option 2: Recommended - Dispatch and parts readiness pilot</w:t>
            </w:r>
          </w:p>
        </w:tc>
        <w:tc>
          <w:tcPr>
            <w:tcW w:type="dxa" w:w="1522"/>
            <w:vAlign w:val="top"/>
          </w:tcPr>
          <w:p>
            <w:r>
              <w:rPr>
                <w:sz w:val="16"/>
              </w:rPr>
              <w:t>Implement a two-region pilot with readiness gates, exception queue, dispatch optimization rules, weekly operating dashboard, and defined escalation ownership.</w:t>
            </w:r>
          </w:p>
        </w:tc>
        <w:tc>
          <w:tcPr>
            <w:tcW w:type="dxa" w:w="1522"/>
            <w:vAlign w:val="top"/>
          </w:tcPr>
          <w:p>
            <w:r>
              <w:rPr>
                <w:sz w:val="16"/>
              </w:rPr>
              <w:t>$690K Year 1</w:t>
            </w:r>
          </w:p>
        </w:tc>
        <w:tc>
          <w:tcPr>
            <w:tcW w:type="dxa" w:w="1522"/>
            <w:vAlign w:val="top"/>
          </w:tcPr>
          <w:p>
            <w:r>
              <w:rPr>
                <w:sz w:val="16"/>
              </w:rPr>
              <w:t>90-day pilot, then scale decision</w:t>
            </w:r>
          </w:p>
        </w:tc>
        <w:tc>
          <w:tcPr>
            <w:tcW w:type="dxa" w:w="1522"/>
            <w:vAlign w:val="top"/>
          </w:tcPr>
          <w:p>
            <w:r>
              <w:rPr>
                <w:sz w:val="16"/>
              </w:rPr>
              <w:t>Targets root cause of capacity leakage; Validates ROI before rollout; Improves operating visibility</w:t>
            </w:r>
          </w:p>
        </w:tc>
        <w:tc>
          <w:tcPr>
            <w:tcW w:type="dxa" w:w="1522"/>
            <w:vAlign w:val="top"/>
          </w:tcPr>
          <w:p>
            <w:r>
              <w:rPr>
                <w:sz w:val="16"/>
              </w:rPr>
              <w:t>Requires supervisor adoption; Requires light integration and data cleanup; Needs disciplined pilot governance</w:t>
            </w:r>
          </w:p>
        </w:tc>
        <w:tc>
          <w:tcPr>
            <w:tcW w:type="dxa" w:w="1522"/>
            <w:vAlign w:val="top"/>
          </w:tcPr>
          <w:p>
            <w:r>
              <w:rPr>
                <w:sz w:val="16"/>
              </w:rPr>
              <w:t>4.4/5</w:t>
            </w:r>
          </w:p>
        </w:tc>
      </w:tr>
      <w:tr>
        <w:tc>
          <w:tcPr>
            <w:tcW w:type="dxa" w:w="1522"/>
            <w:vAlign w:val="top"/>
          </w:tcPr>
          <w:p>
            <w:r>
              <w:rPr>
                <w:sz w:val="16"/>
              </w:rPr>
              <w:t>Option 3: Full platform replacement</w:t>
            </w:r>
          </w:p>
        </w:tc>
        <w:tc>
          <w:tcPr>
            <w:tcW w:type="dxa" w:w="1522"/>
            <w:vAlign w:val="top"/>
          </w:tcPr>
          <w:p>
            <w:r>
              <w:rPr>
                <w:sz w:val="16"/>
              </w:rPr>
              <w:t>Replace dispatch, inventory readiness, and field scheduling stack with a fully integrated field service platform.</w:t>
            </w:r>
          </w:p>
        </w:tc>
        <w:tc>
          <w:tcPr>
            <w:tcW w:type="dxa" w:w="1522"/>
            <w:vAlign w:val="top"/>
          </w:tcPr>
          <w:p>
            <w:r>
              <w:rPr>
                <w:sz w:val="16"/>
              </w:rPr>
              <w:t>$2.8M-$4.2M multi-year estimate</w:t>
            </w:r>
          </w:p>
        </w:tc>
        <w:tc>
          <w:tcPr>
            <w:tcW w:type="dxa" w:w="1522"/>
            <w:vAlign w:val="top"/>
          </w:tcPr>
          <w:p>
            <w:r>
              <w:rPr>
                <w:sz w:val="16"/>
              </w:rPr>
              <w:t>12-18 months</w:t>
            </w:r>
          </w:p>
        </w:tc>
        <w:tc>
          <w:tcPr>
            <w:tcW w:type="dxa" w:w="1522"/>
            <w:vAlign w:val="top"/>
          </w:tcPr>
          <w:p>
            <w:r>
              <w:rPr>
                <w:sz w:val="16"/>
              </w:rPr>
              <w:t>Potentially broader long-term capability; Reduces tool fragmentation</w:t>
            </w:r>
          </w:p>
        </w:tc>
        <w:tc>
          <w:tcPr>
            <w:tcW w:type="dxa" w:w="1522"/>
            <w:vAlign w:val="top"/>
          </w:tcPr>
          <w:p>
            <w:r>
              <w:rPr>
                <w:sz w:val="16"/>
              </w:rPr>
              <w:t>Too slow for current peak-season issue; High migration and change risk; Requires broader enterprise program</w:t>
            </w:r>
          </w:p>
        </w:tc>
        <w:tc>
          <w:tcPr>
            <w:tcW w:type="dxa" w:w="1522"/>
            <w:vAlign w:val="top"/>
          </w:tcPr>
          <w:p>
            <w:r>
              <w:rPr>
                <w:sz w:val="16"/>
              </w:rPr>
              <w:t>3.1/5</w:t>
            </w:r>
          </w:p>
        </w:tc>
      </w:tr>
    </w:tbl>
    <w:p>
      <w:pPr>
        <w:pStyle w:val="Heading1"/>
      </w:pPr>
      <w:r>
        <w:t>5. Recommended Solution</w:t>
      </w:r>
    </w:p>
    <w:p>
      <w:pPr>
        <w:pStyle w:val="Heading2"/>
      </w:pPr>
      <w:r>
        <w:t>5.1 Recommendation</w:t>
      </w:r>
    </w:p>
    <w:p>
      <w:r>
        <w:t>Approve Option 2: a two-region dispatch and parts readiness pilot with defined readiness gates, exception ownership, and operating metrics before any national rollout.</w:t>
      </w:r>
    </w:p>
    <w:p>
      <w:pPr>
        <w:pStyle w:val="Heading2"/>
      </w:pPr>
      <w:r>
        <w:t>5.2 Rationale</w:t>
      </w:r>
    </w:p>
    <w:p>
      <w:r>
        <w:t>Option 2 addresses the likely root cause while preserving reversibility. It is less expensive and faster than platform replacement, and it avoids adding permanent labor before recovering avoidable capacity leakage.</w:t>
      </w:r>
    </w:p>
    <w:p>
      <w:pPr>
        <w:pStyle w:val="Heading2"/>
      </w:pPr>
      <w:r>
        <w:t>5.3 People / Process / Technology</w:t>
      </w:r>
    </w:p>
    <w:p>
      <w:r>
        <w:t>People: Regional service directors sponsor the pilot; dispatch supervisors own daily exception review; inventory planning owns parts readiness; IT supports data extracts and dashboard enablement.</w:t>
      </w:r>
    </w:p>
    <w:p>
      <w:r>
        <w:t>Process: Before appointments are locked, orders are checked for technician skill, parts availability, customer readiness, and schedule feasibility. Exceptions enter a supervisor-owned queue with escalation thresholds.</w:t>
      </w:r>
    </w:p>
    <w:p>
      <w:r>
        <w:t>Technology: Use current work-order, inventory, and scheduling systems with a lightweight reporting layer and exception workflow for the pilot. Avoid major platform replacement in Phase 1.</w:t>
      </w:r>
    </w:p>
    <w:p>
      <w:pPr>
        <w:pStyle w:val="Heading2"/>
      </w:pPr>
      <w:r>
        <w:t>5.4 Dependencies &amp; Prerequisites</w:t>
      </w:r>
    </w:p>
    <w:p>
      <w:pPr>
        <w:pStyle w:val="ListBullet"/>
      </w:pPr>
      <w:r>
        <w:t>Access to work-order history</w:t>
      </w:r>
    </w:p>
    <w:p>
      <w:pPr>
        <w:pStyle w:val="ListBullet"/>
      </w:pPr>
      <w:r>
        <w:t>Inventory availability data extract</w:t>
      </w:r>
    </w:p>
    <w:p>
      <w:pPr>
        <w:pStyle w:val="ListBullet"/>
      </w:pPr>
      <w:r>
        <w:t>Regional supervisor participation</w:t>
      </w:r>
    </w:p>
    <w:p>
      <w:pPr>
        <w:pStyle w:val="ListBullet"/>
      </w:pPr>
      <w:r>
        <w:t>Pilot training calendar</w:t>
      </w:r>
    </w:p>
    <w:p>
      <w:pPr>
        <w:pStyle w:val="ListBullet"/>
      </w:pPr>
      <w:r>
        <w:t>CFO approval for Year 1 funding</w:t>
      </w:r>
    </w:p>
    <w:p>
      <w:pPr>
        <w:pStyle w:val="Heading2"/>
      </w:pPr>
      <w:r>
        <w:t>5.5 Organizational Impact</w:t>
      </w:r>
    </w:p>
    <w:p>
      <w:r>
        <w:t>The pilot changes how supervisors commit appointments and manage exceptions. It adds up-front readiness discipline but should reduce late-day rework, repeat visits, and overtime pressure.</w:t>
      </w:r>
    </w:p>
    <w:p>
      <w:pPr>
        <w:pStyle w:val="Heading1"/>
      </w:pPr>
      <w:r>
        <w:t>6. Financial Analysis</w:t>
      </w:r>
    </w:p>
    <w:p>
      <w:pPr>
        <w:pStyle w:val="Heading2"/>
      </w:pPr>
      <w:r>
        <w:t>6.1 Investment Summary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EAF2F8"/>
          </w:tcPr>
          <w:p>
            <w:r>
              <w:rPr>
                <w:b/>
                <w:sz w:val="16"/>
              </w:rPr>
              <w:t>Category</w:t>
            </w:r>
          </w:p>
        </w:tc>
        <w:tc>
          <w:tcPr>
            <w:tcW w:type="dxa" w:w="2664"/>
            <w:vAlign w:val="top"/>
            <w:shd w:fill="EAF2F8"/>
          </w:tcPr>
          <w:p>
            <w:r>
              <w:rPr>
                <w:b/>
                <w:sz w:val="16"/>
              </w:rPr>
              <w:t>One-Time Cost</w:t>
            </w:r>
          </w:p>
        </w:tc>
        <w:tc>
          <w:tcPr>
            <w:tcW w:type="dxa" w:w="2664"/>
            <w:vAlign w:val="top"/>
            <w:shd w:fill="EAF2F8"/>
          </w:tcPr>
          <w:p>
            <w:r>
              <w:rPr>
                <w:b/>
                <w:sz w:val="16"/>
              </w:rPr>
              <w:t>Annual Recurring Cost</w:t>
            </w:r>
          </w:p>
        </w:tc>
        <w:tc>
          <w:tcPr>
            <w:tcW w:type="dxa" w:w="2664"/>
            <w:vAlign w:val="top"/>
            <w:shd w:fill="EAF2F8"/>
          </w:tcPr>
          <w:p>
            <w:r>
              <w:rPr>
                <w:b/>
                <w:sz w:val="16"/>
              </w:rPr>
              <w:t>Notes / Assumptions</w:t>
            </w:r>
          </w:p>
        </w:tc>
      </w:tr>
      <w:tr>
        <w:tc>
          <w:tcPr>
            <w:tcW w:type="dxa" w:w="2664"/>
            <w:vAlign w:val="top"/>
          </w:tcPr>
          <w:p>
            <w:r>
              <w:rPr>
                <w:sz w:val="16"/>
              </w:rPr>
              <w:t>Implementation labor</w:t>
            </w:r>
          </w:p>
        </w:tc>
        <w:tc>
          <w:tcPr>
            <w:tcW w:type="dxa" w:w="2664"/>
            <w:vAlign w:val="top"/>
          </w:tcPr>
          <w:p>
            <w:r>
              <w:rPr>
                <w:sz w:val="16"/>
              </w:rPr>
              <w:t>$180,000</w:t>
            </w:r>
          </w:p>
        </w:tc>
        <w:tc>
          <w:tcPr>
            <w:tcW w:type="dxa" w:w="2664"/>
            <w:vAlign w:val="top"/>
          </w:tcPr>
          <w:p>
            <w:r>
              <w:rPr>
                <w:sz w:val="16"/>
              </w:rPr>
              <w:t>$0</w:t>
            </w:r>
          </w:p>
        </w:tc>
        <w:tc>
          <w:tcPr>
            <w:tcW w:type="dxa" w:w="2664"/>
            <w:vAlign w:val="top"/>
          </w:tcPr>
          <w:p>
            <w:r>
              <w:rPr>
                <w:sz w:val="16"/>
              </w:rPr>
              <w:t>Internal project, operations, and IT labor valued at loaded cost for pilot setup.</w:t>
            </w:r>
          </w:p>
        </w:tc>
      </w:tr>
      <w:tr>
        <w:tc>
          <w:tcPr>
            <w:tcW w:type="dxa" w:w="2664"/>
            <w:vAlign w:val="top"/>
          </w:tcPr>
          <w:p>
            <w:r>
              <w:rPr>
                <w:sz w:val="16"/>
              </w:rPr>
              <w:t>External workflow/configuration support</w:t>
            </w:r>
          </w:p>
        </w:tc>
        <w:tc>
          <w:tcPr>
            <w:tcW w:type="dxa" w:w="2664"/>
            <w:vAlign w:val="top"/>
          </w:tcPr>
          <w:p>
            <w:r>
              <w:rPr>
                <w:sz w:val="16"/>
              </w:rPr>
              <w:t>$220,000</w:t>
            </w:r>
          </w:p>
        </w:tc>
        <w:tc>
          <w:tcPr>
            <w:tcW w:type="dxa" w:w="2664"/>
            <w:vAlign w:val="top"/>
          </w:tcPr>
          <w:p>
            <w:r>
              <w:rPr>
                <w:sz w:val="16"/>
              </w:rPr>
              <w:t>$0</w:t>
            </w:r>
          </w:p>
        </w:tc>
        <w:tc>
          <w:tcPr>
            <w:tcW w:type="dxa" w:w="2664"/>
            <w:vAlign w:val="top"/>
          </w:tcPr>
          <w:p>
            <w:r>
              <w:rPr>
                <w:sz w:val="16"/>
              </w:rPr>
              <w:t>Vendor support for dashboard, exception workflow, and field reporting.</w:t>
            </w:r>
          </w:p>
        </w:tc>
      </w:tr>
      <w:tr>
        <w:tc>
          <w:tcPr>
            <w:tcW w:type="dxa" w:w="2664"/>
            <w:vAlign w:val="top"/>
          </w:tcPr>
          <w:p>
            <w:r>
              <w:rPr>
                <w:sz w:val="16"/>
              </w:rPr>
              <w:t>Training and change management</w:t>
            </w:r>
          </w:p>
        </w:tc>
        <w:tc>
          <w:tcPr>
            <w:tcW w:type="dxa" w:w="2664"/>
            <w:vAlign w:val="top"/>
          </w:tcPr>
          <w:p>
            <w:r>
              <w:rPr>
                <w:sz w:val="16"/>
              </w:rPr>
              <w:t>$90,000</w:t>
            </w:r>
          </w:p>
        </w:tc>
        <w:tc>
          <w:tcPr>
            <w:tcW w:type="dxa" w:w="2664"/>
            <w:vAlign w:val="top"/>
          </w:tcPr>
          <w:p>
            <w:r>
              <w:rPr>
                <w:sz w:val="16"/>
              </w:rPr>
              <w:t>$30,000</w:t>
            </w:r>
          </w:p>
        </w:tc>
        <w:tc>
          <w:tcPr>
            <w:tcW w:type="dxa" w:w="2664"/>
            <w:vAlign w:val="top"/>
          </w:tcPr>
          <w:p>
            <w:r>
              <w:rPr>
                <w:sz w:val="16"/>
              </w:rPr>
              <w:t>Supervisor and technician training materials, office hours, and adoption support.</w:t>
            </w:r>
          </w:p>
        </w:tc>
      </w:tr>
      <w:tr>
        <w:tc>
          <w:tcPr>
            <w:tcW w:type="dxa" w:w="2664"/>
            <w:vAlign w:val="top"/>
          </w:tcPr>
          <w:p>
            <w:r>
              <w:rPr>
                <w:sz w:val="16"/>
              </w:rPr>
              <w:t>Reporting/tooling</w:t>
            </w:r>
          </w:p>
        </w:tc>
        <w:tc>
          <w:tcPr>
            <w:tcW w:type="dxa" w:w="2664"/>
            <w:vAlign w:val="top"/>
          </w:tcPr>
          <w:p>
            <w:r>
              <w:rPr>
                <w:sz w:val="16"/>
              </w:rPr>
              <w:t>$120,000</w:t>
            </w:r>
          </w:p>
        </w:tc>
        <w:tc>
          <w:tcPr>
            <w:tcW w:type="dxa" w:w="2664"/>
            <w:vAlign w:val="top"/>
          </w:tcPr>
          <w:p>
            <w:r>
              <w:rPr>
                <w:sz w:val="16"/>
              </w:rPr>
              <w:t>$50,000</w:t>
            </w:r>
          </w:p>
        </w:tc>
        <w:tc>
          <w:tcPr>
            <w:tcW w:type="dxa" w:w="2664"/>
            <w:vAlign w:val="top"/>
          </w:tcPr>
          <w:p>
            <w:r>
              <w:rPr>
                <w:sz w:val="16"/>
              </w:rPr>
              <w:t>Lightweight reporting layer, data extracts, and support.</w:t>
            </w:r>
          </w:p>
        </w:tc>
      </w:tr>
      <w:tr>
        <w:tc>
          <w:tcPr>
            <w:tcW w:type="dxa" w:w="2664"/>
            <w:vAlign w:val="top"/>
          </w:tcPr>
          <w:p>
            <w:r>
              <w:rPr>
                <w:sz w:val="16"/>
              </w:rPr>
              <w:t>Contingency</w:t>
            </w:r>
          </w:p>
        </w:tc>
        <w:tc>
          <w:tcPr>
            <w:tcW w:type="dxa" w:w="2664"/>
            <w:vAlign w:val="top"/>
          </w:tcPr>
          <w:p>
            <w:r>
              <w:rPr>
                <w:sz w:val="16"/>
              </w:rPr>
              <w:t>$80,000</w:t>
            </w:r>
          </w:p>
        </w:tc>
        <w:tc>
          <w:tcPr>
            <w:tcW w:type="dxa" w:w="2664"/>
            <w:vAlign w:val="top"/>
          </w:tcPr>
          <w:p>
            <w:r>
              <w:rPr>
                <w:sz w:val="16"/>
              </w:rPr>
              <w:t>$0</w:t>
            </w:r>
          </w:p>
        </w:tc>
        <w:tc>
          <w:tcPr>
            <w:tcW w:type="dxa" w:w="2664"/>
            <w:vAlign w:val="top"/>
          </w:tcPr>
          <w:p>
            <w:r>
              <w:rPr>
                <w:sz w:val="16"/>
              </w:rPr>
              <w:t>Approximately 14% of one-time pilot cost.</w:t>
            </w:r>
          </w:p>
        </w:tc>
      </w:tr>
    </w:tbl>
    <w:p>
      <w:pPr>
        <w:pStyle w:val="Heading2"/>
      </w:pPr>
      <w:r>
        <w:t>6.2 Benefit Model</w:t>
      </w:r>
    </w:p>
    <w:p>
      <w:r>
        <w:t>Hard Benefits (included in ROI calculation)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EAF2F8"/>
          </w:tcPr>
          <w:p>
            <w:r>
              <w:rPr>
                <w:b/>
                <w:sz w:val="16"/>
              </w:rPr>
              <w:t>Benefit</w:t>
            </w:r>
          </w:p>
        </w:tc>
        <w:tc>
          <w:tcPr>
            <w:tcW w:type="dxa" w:w="3552"/>
            <w:vAlign w:val="top"/>
            <w:shd w:fill="EAF2F8"/>
          </w:tcPr>
          <w:p>
            <w:r>
              <w:rPr>
                <w:b/>
                <w:sz w:val="16"/>
              </w:rPr>
              <w:t>Annual Value</w:t>
            </w:r>
          </w:p>
        </w:tc>
        <w:tc>
          <w:tcPr>
            <w:tcW w:type="dxa" w:w="3552"/>
            <w:vAlign w:val="top"/>
            <w:shd w:fill="EAF2F8"/>
          </w:tcPr>
          <w:p>
            <w:r>
              <w:rPr>
                <w:b/>
                <w:sz w:val="16"/>
              </w:rPr>
              <w:t>Basis / Assumption</w:t>
            </w:r>
          </w:p>
        </w:tc>
      </w:tr>
      <w:tr>
        <w:tc>
          <w:tcPr>
            <w:tcW w:type="dxa" w:w="3552"/>
            <w:vAlign w:val="top"/>
          </w:tcPr>
          <w:p>
            <w:r>
              <w:rPr>
                <w:sz w:val="16"/>
              </w:rPr>
              <w:t>Reduced repeat visits</w:t>
            </w:r>
          </w:p>
        </w:tc>
        <w:tc>
          <w:tcPr>
            <w:tcW w:type="dxa" w:w="3552"/>
            <w:vAlign w:val="top"/>
          </w:tcPr>
          <w:p>
            <w:r>
              <w:rPr>
                <w:sz w:val="16"/>
              </w:rPr>
              <w:t>$920,000</w:t>
            </w:r>
          </w:p>
        </w:tc>
        <w:tc>
          <w:tcPr>
            <w:tcW w:type="dxa" w:w="3552"/>
            <w:vAlign w:val="top"/>
          </w:tcPr>
          <w:p>
            <w:r>
              <w:rPr>
                <w:sz w:val="16"/>
              </w:rPr>
              <w:t>Assumes pilot practices reduce repeat truck rolls by 40% in scaled steady state.</w:t>
            </w:r>
          </w:p>
        </w:tc>
      </w:tr>
      <w:tr>
        <w:tc>
          <w:tcPr>
            <w:tcW w:type="dxa" w:w="3552"/>
            <w:vAlign w:val="top"/>
          </w:tcPr>
          <w:p>
            <w:r>
              <w:rPr>
                <w:sz w:val="16"/>
              </w:rPr>
              <w:t>Reduced overtime and expedited parts</w:t>
            </w:r>
          </w:p>
        </w:tc>
        <w:tc>
          <w:tcPr>
            <w:tcW w:type="dxa" w:w="3552"/>
            <w:vAlign w:val="top"/>
          </w:tcPr>
          <w:p>
            <w:r>
              <w:rPr>
                <w:sz w:val="16"/>
              </w:rPr>
              <w:t>$480,000</w:t>
            </w:r>
          </w:p>
        </w:tc>
        <w:tc>
          <w:tcPr>
            <w:tcW w:type="dxa" w:w="3552"/>
            <w:vAlign w:val="top"/>
          </w:tcPr>
          <w:p>
            <w:r>
              <w:rPr>
                <w:sz w:val="16"/>
              </w:rPr>
              <w:t>Assumes fewer late schedule changes and fewer emergency parts movements.</w:t>
            </w:r>
          </w:p>
        </w:tc>
      </w:tr>
      <w:tr>
        <w:tc>
          <w:tcPr>
            <w:tcW w:type="dxa" w:w="3552"/>
            <w:vAlign w:val="top"/>
          </w:tcPr>
          <w:p>
            <w:r>
              <w:rPr>
                <w:sz w:val="16"/>
              </w:rPr>
              <w:t>Recovered appointment capacity</w:t>
            </w:r>
          </w:p>
        </w:tc>
        <w:tc>
          <w:tcPr>
            <w:tcW w:type="dxa" w:w="3552"/>
            <w:vAlign w:val="top"/>
          </w:tcPr>
          <w:p>
            <w:r>
              <w:rPr>
                <w:sz w:val="16"/>
              </w:rPr>
              <w:t>$620,000</w:t>
            </w:r>
          </w:p>
        </w:tc>
        <w:tc>
          <w:tcPr>
            <w:tcW w:type="dxa" w:w="3552"/>
            <w:vAlign w:val="top"/>
          </w:tcPr>
          <w:p>
            <w:r>
              <w:rPr>
                <w:sz w:val="16"/>
              </w:rPr>
              <w:t>Assumes recovered field capacity supports additional same-week appointments without adding headcount.</w:t>
            </w:r>
          </w:p>
        </w:tc>
      </w:tr>
    </w:tbl>
    <w:p>
      <w:r>
        <w:t>Soft Benefits (not included in ROI headline)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EAF2F8"/>
          </w:tcPr>
          <w:p>
            <w:r>
              <w:rPr>
                <w:b/>
                <w:sz w:val="16"/>
              </w:rPr>
              <w:t>Benefit</w:t>
            </w:r>
          </w:p>
        </w:tc>
        <w:tc>
          <w:tcPr>
            <w:tcW w:type="dxa" w:w="3552"/>
            <w:vAlign w:val="top"/>
            <w:shd w:fill="EAF2F8"/>
          </w:tcPr>
          <w:p>
            <w:r>
              <w:rPr>
                <w:b/>
                <w:sz w:val="16"/>
              </w:rPr>
              <w:t>Value</w:t>
            </w:r>
          </w:p>
        </w:tc>
        <w:tc>
          <w:tcPr>
            <w:tcW w:type="dxa" w:w="3552"/>
            <w:vAlign w:val="top"/>
            <w:shd w:fill="EAF2F8"/>
          </w:tcPr>
          <w:p>
            <w:r>
              <w:rPr>
                <w:b/>
                <w:sz w:val="16"/>
              </w:rPr>
              <w:t>Basis / Assumption</w:t>
            </w:r>
          </w:p>
        </w:tc>
      </w:tr>
      <w:tr>
        <w:tc>
          <w:tcPr>
            <w:tcW w:type="dxa" w:w="3552"/>
            <w:vAlign w:val="top"/>
          </w:tcPr>
          <w:p>
            <w:r>
              <w:rPr>
                <w:sz w:val="16"/>
              </w:rPr>
              <w:t>Supervisor operating visibility</w:t>
            </w:r>
          </w:p>
        </w:tc>
        <w:tc>
          <w:tcPr>
            <w:tcW w:type="dxa" w:w="3552"/>
            <w:vAlign w:val="top"/>
          </w:tcPr>
          <w:p>
            <w:r>
              <w:rPr>
                <w:sz w:val="16"/>
              </w:rPr>
              <w:t>Not included in ROI</w:t>
            </w:r>
          </w:p>
        </w:tc>
        <w:tc>
          <w:tcPr>
            <w:tcW w:type="dxa" w:w="3552"/>
            <w:vAlign w:val="top"/>
          </w:tcPr>
          <w:p>
            <w:r>
              <w:rPr>
                <w:sz w:val="16"/>
              </w:rPr>
              <w:t>Improves decision quality and escalation discipline.</w:t>
            </w:r>
          </w:p>
        </w:tc>
      </w:tr>
      <w:tr>
        <w:tc>
          <w:tcPr>
            <w:tcW w:type="dxa" w:w="3552"/>
            <w:vAlign w:val="top"/>
          </w:tcPr>
          <w:p>
            <w:r>
              <w:rPr>
                <w:sz w:val="16"/>
              </w:rPr>
              <w:t>Customer experience improvement</w:t>
            </w:r>
          </w:p>
        </w:tc>
        <w:tc>
          <w:tcPr>
            <w:tcW w:type="dxa" w:w="3552"/>
            <w:vAlign w:val="top"/>
          </w:tcPr>
          <w:p>
            <w:r>
              <w:rPr>
                <w:sz w:val="16"/>
              </w:rPr>
              <w:t>Not included in ROI</w:t>
            </w:r>
          </w:p>
        </w:tc>
        <w:tc>
          <w:tcPr>
            <w:tcW w:type="dxa" w:w="3552"/>
            <w:vAlign w:val="top"/>
          </w:tcPr>
          <w:p>
            <w:r>
              <w:rPr>
                <w:sz w:val="16"/>
              </w:rPr>
              <w:t>Expected improvement from fewer missed or repeated service windows.</w:t>
            </w:r>
          </w:p>
        </w:tc>
      </w:tr>
    </w:tbl>
    <w:p>
      <w:pPr>
        <w:pStyle w:val="Heading2"/>
      </w:pPr>
      <w:r>
        <w:t>6.3 Return Analysis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AF2F8"/>
          </w:tcPr>
          <w:p>
            <w:r>
              <w:rPr>
                <w:b/>
                <w:sz w:val="16"/>
              </w:rPr>
              <w:t>Metric</w:t>
            </w:r>
          </w:p>
        </w:tc>
        <w:tc>
          <w:tcPr>
            <w:tcW w:type="dxa" w:w="5328"/>
            <w:vAlign w:val="top"/>
            <w:shd w:fill="EAF2F8"/>
          </w:tcPr>
          <w:p>
            <w:r>
              <w:rPr>
                <w:b/>
                <w:sz w:val="16"/>
              </w:rPr>
              <w:t>Value</w:t>
            </w:r>
          </w:p>
        </w:tc>
      </w:tr>
      <w:tr>
        <w:tc>
          <w:tcPr>
            <w:tcW w:type="dxa" w:w="5328"/>
            <w:vAlign w:val="top"/>
          </w:tcPr>
          <w:p>
            <w:r>
              <w:rPr>
                <w:sz w:val="16"/>
              </w:rPr>
              <w:t>Year 1 Investment</w:t>
            </w:r>
          </w:p>
        </w:tc>
        <w:tc>
          <w:tcPr>
            <w:tcW w:type="dxa" w:w="5328"/>
            <w:vAlign w:val="top"/>
          </w:tcPr>
          <w:p>
            <w:r>
              <w:rPr>
                <w:sz w:val="16"/>
              </w:rPr>
              <w:t>$690,000</w:t>
            </w:r>
          </w:p>
        </w:tc>
      </w:tr>
      <w:tr>
        <w:tc>
          <w:tcPr>
            <w:tcW w:type="dxa" w:w="5328"/>
            <w:vAlign w:val="top"/>
          </w:tcPr>
          <w:p>
            <w:r>
              <w:rPr>
                <w:sz w:val="16"/>
              </w:rPr>
              <w:t>Annual Hard Benefit</w:t>
            </w:r>
          </w:p>
        </w:tc>
        <w:tc>
          <w:tcPr>
            <w:tcW w:type="dxa" w:w="5328"/>
            <w:vAlign w:val="top"/>
          </w:tcPr>
          <w:p>
            <w:r>
              <w:rPr>
                <w:sz w:val="16"/>
              </w:rPr>
              <w:t>$2,020,000</w:t>
            </w:r>
          </w:p>
        </w:tc>
      </w:tr>
      <w:tr>
        <w:tc>
          <w:tcPr>
            <w:tcW w:type="dxa" w:w="5328"/>
            <w:vAlign w:val="top"/>
          </w:tcPr>
          <w:p>
            <w:r>
              <w:rPr>
                <w:sz w:val="16"/>
              </w:rPr>
              <w:t>Payback Period</w:t>
            </w:r>
          </w:p>
        </w:tc>
        <w:tc>
          <w:tcPr>
            <w:tcW w:type="dxa" w:w="5328"/>
            <w:vAlign w:val="top"/>
          </w:tcPr>
          <w:p>
            <w:r>
              <w:rPr>
                <w:sz w:val="16"/>
              </w:rPr>
              <w:t>Approximately 4.1 months after scaled run-rate</w:t>
            </w:r>
          </w:p>
        </w:tc>
      </w:tr>
      <w:tr>
        <w:tc>
          <w:tcPr>
            <w:tcW w:type="dxa" w:w="5328"/>
            <w:vAlign w:val="top"/>
          </w:tcPr>
          <w:p>
            <w:r>
              <w:rPr>
                <w:sz w:val="16"/>
              </w:rPr>
              <w:t>Three Year Roi</w:t>
            </w:r>
          </w:p>
        </w:tc>
        <w:tc>
          <w:tcPr>
            <w:tcW w:type="dxa" w:w="5328"/>
            <w:vAlign w:val="top"/>
          </w:tcPr>
          <w:p>
            <w:r>
              <w:rPr>
                <w:sz w:val="16"/>
              </w:rPr>
              <w:t>Approximately 540% before recurring support costs</w:t>
            </w:r>
          </w:p>
        </w:tc>
      </w:tr>
      <w:tr>
        <w:tc>
          <w:tcPr>
            <w:tcW w:type="dxa" w:w="5328"/>
            <w:vAlign w:val="top"/>
          </w:tcPr>
          <w:p>
            <w:r>
              <w:rPr>
                <w:sz w:val="16"/>
              </w:rPr>
              <w:t>Npv</w:t>
            </w:r>
          </w:p>
        </w:tc>
        <w:tc>
          <w:tcPr>
            <w:tcW w:type="dxa" w:w="5328"/>
            <w:vAlign w:val="top"/>
          </w:tcPr>
          <w:p>
            <w:r>
              <w:rPr>
                <w:sz w:val="16"/>
              </w:rPr>
              <w:t>Not calculated in sample; add discount rate for CFO-ready version</w:t>
            </w:r>
          </w:p>
        </w:tc>
      </w:tr>
    </w:tbl>
    <w:p>
      <w:pPr>
        <w:pStyle w:val="Heading2"/>
      </w:pPr>
      <w:r>
        <w:t>6.4 Key Assumptions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AF2F8"/>
          </w:tcPr>
          <w:p>
            <w:r>
              <w:rPr>
                <w:b/>
                <w:sz w:val="16"/>
              </w:rPr>
              <w:t>Assumption</w:t>
            </w:r>
          </w:p>
        </w:tc>
        <w:tc>
          <w:tcPr>
            <w:tcW w:type="dxa" w:w="5328"/>
            <w:vAlign w:val="top"/>
            <w:shd w:fill="EAF2F8"/>
          </w:tcPr>
          <w:p>
            <w:r>
              <w:rPr>
                <w:b/>
                <w:sz w:val="16"/>
              </w:rPr>
              <w:t>Validation</w:t>
            </w:r>
          </w:p>
        </w:tc>
      </w:tr>
      <w:tr>
        <w:tc>
          <w:tcPr>
            <w:tcW w:type="dxa" w:w="5328"/>
            <w:vAlign w:val="top"/>
          </w:tcPr>
          <w:p>
            <w:r>
              <w:rPr>
                <w:sz w:val="16"/>
              </w:rPr>
              <w:t>Repeat-visit reduction reaches 40% of addressable repeat truck rolls</w:t>
            </w:r>
          </w:p>
        </w:tc>
        <w:tc>
          <w:tcPr>
            <w:tcW w:type="dxa" w:w="5328"/>
            <w:vAlign w:val="top"/>
          </w:tcPr>
          <w:p>
            <w:r>
              <w:rPr>
                <w:sz w:val="16"/>
              </w:rPr>
              <w:t>Validate during 90-day pilot against baseline regions.</w:t>
            </w:r>
          </w:p>
        </w:tc>
      </w:tr>
      <w:tr>
        <w:tc>
          <w:tcPr>
            <w:tcW w:type="dxa" w:w="5328"/>
            <w:vAlign w:val="top"/>
          </w:tcPr>
          <w:p>
            <w:r>
              <w:rPr>
                <w:sz w:val="16"/>
              </w:rPr>
              <w:t>Data extracts from current systems are sufficient for pilot reporting</w:t>
            </w:r>
          </w:p>
        </w:tc>
        <w:tc>
          <w:tcPr>
            <w:tcW w:type="dxa" w:w="5328"/>
            <w:vAlign w:val="top"/>
          </w:tcPr>
          <w:p>
            <w:r>
              <w:rPr>
                <w:sz w:val="16"/>
              </w:rPr>
              <w:t>Confirm in Phase 0 technical readiness review.</w:t>
            </w:r>
          </w:p>
        </w:tc>
      </w:tr>
      <w:tr>
        <w:tc>
          <w:tcPr>
            <w:tcW w:type="dxa" w:w="5328"/>
            <w:vAlign w:val="top"/>
          </w:tcPr>
          <w:p>
            <w:r>
              <w:rPr>
                <w:sz w:val="16"/>
              </w:rPr>
              <w:t>Two pilot regions are representative enough for scale decision</w:t>
            </w:r>
          </w:p>
        </w:tc>
        <w:tc>
          <w:tcPr>
            <w:tcW w:type="dxa" w:w="5328"/>
            <w:vAlign w:val="top"/>
          </w:tcPr>
          <w:p>
            <w:r>
              <w:rPr>
                <w:sz w:val="16"/>
              </w:rPr>
              <w:t>Compare route density, parts mix, and technician skill distribution before selection.</w:t>
            </w:r>
          </w:p>
        </w:tc>
      </w:tr>
    </w:tbl>
    <w:p>
      <w:pPr>
        <w:pStyle w:val="Heading2"/>
      </w:pPr>
      <w:r>
        <w:t>6.5 Sensitivity Analysis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EAF2F8"/>
          </w:tcPr>
          <w:p>
            <w:r>
              <w:rPr>
                <w:b/>
                <w:sz w:val="16"/>
              </w:rPr>
              <w:t>Scenario</w:t>
            </w:r>
          </w:p>
        </w:tc>
        <w:tc>
          <w:tcPr>
            <w:tcW w:type="dxa" w:w="3552"/>
            <w:vAlign w:val="top"/>
            <w:shd w:fill="EAF2F8"/>
          </w:tcPr>
          <w:p>
            <w:r>
              <w:rPr>
                <w:b/>
                <w:sz w:val="16"/>
              </w:rPr>
              <w:t>Variable</w:t>
            </w:r>
          </w:p>
        </w:tc>
        <w:tc>
          <w:tcPr>
            <w:tcW w:type="dxa" w:w="3552"/>
            <w:vAlign w:val="top"/>
            <w:shd w:fill="EAF2F8"/>
          </w:tcPr>
          <w:p>
            <w:r>
              <w:rPr>
                <w:b/>
                <w:sz w:val="16"/>
              </w:rPr>
              <w:t>Impact</w:t>
            </w:r>
          </w:p>
        </w:tc>
      </w:tr>
      <w:tr>
        <w:tc>
          <w:tcPr>
            <w:tcW w:type="dxa" w:w="3552"/>
            <w:vAlign w:val="top"/>
          </w:tcPr>
          <w:p>
            <w:r>
              <w:rPr>
                <w:sz w:val="16"/>
              </w:rPr>
              <w:t>Base case</w:t>
            </w:r>
          </w:p>
        </w:tc>
        <w:tc>
          <w:tcPr>
            <w:tcW w:type="dxa" w:w="3552"/>
            <w:vAlign w:val="top"/>
          </w:tcPr>
          <w:p>
            <w:r>
              <w:rPr>
                <w:sz w:val="16"/>
              </w:rPr>
              <w:t>$690K Year 1 investment; $2.02M annual hard benefit</w:t>
            </w:r>
          </w:p>
        </w:tc>
        <w:tc>
          <w:tcPr>
            <w:tcW w:type="dxa" w:w="3552"/>
            <w:vAlign w:val="top"/>
          </w:tcPr>
          <w:p>
            <w:r>
              <w:rPr>
                <w:sz w:val="16"/>
              </w:rPr>
              <w:t>Payback approximately 4.1 months after scaled run-rate.</w:t>
            </w:r>
          </w:p>
        </w:tc>
      </w:tr>
      <w:tr>
        <w:tc>
          <w:tcPr>
            <w:tcW w:type="dxa" w:w="3552"/>
            <w:vAlign w:val="top"/>
          </w:tcPr>
          <w:p>
            <w:r>
              <w:rPr>
                <w:sz w:val="16"/>
              </w:rPr>
              <w:t>Implementation delay +25%</w:t>
            </w:r>
          </w:p>
        </w:tc>
        <w:tc>
          <w:tcPr>
            <w:tcW w:type="dxa" w:w="3552"/>
            <w:vAlign w:val="top"/>
          </w:tcPr>
          <w:p>
            <w:r>
              <w:rPr>
                <w:sz w:val="16"/>
              </w:rPr>
              <w:t>Pilot extends from 90 to 113 days</w:t>
            </w:r>
          </w:p>
        </w:tc>
        <w:tc>
          <w:tcPr>
            <w:tcW w:type="dxa" w:w="3552"/>
            <w:vAlign w:val="top"/>
          </w:tcPr>
          <w:p>
            <w:r>
              <w:rPr>
                <w:sz w:val="16"/>
              </w:rPr>
              <w:t>First-year benefit deferred by roughly one month; scale decision slips into Q4.</w:t>
            </w:r>
          </w:p>
        </w:tc>
      </w:tr>
      <w:tr>
        <w:tc>
          <w:tcPr>
            <w:tcW w:type="dxa" w:w="3552"/>
            <w:vAlign w:val="top"/>
          </w:tcPr>
          <w:p>
            <w:r>
              <w:rPr>
                <w:sz w:val="16"/>
              </w:rPr>
              <w:t>Benefit underperformance -30%</w:t>
            </w:r>
          </w:p>
        </w:tc>
        <w:tc>
          <w:tcPr>
            <w:tcW w:type="dxa" w:w="3552"/>
            <w:vAlign w:val="top"/>
          </w:tcPr>
          <w:p>
            <w:r>
              <w:rPr>
                <w:sz w:val="16"/>
              </w:rPr>
              <w:t>Annual hard benefit falls to $1.41M</w:t>
            </w:r>
          </w:p>
        </w:tc>
        <w:tc>
          <w:tcPr>
            <w:tcW w:type="dxa" w:w="3552"/>
            <w:vAlign w:val="top"/>
          </w:tcPr>
          <w:p>
            <w:r>
              <w:rPr>
                <w:sz w:val="16"/>
              </w:rPr>
              <w:t>Payback extends to approximately 5.9 months.</w:t>
            </w:r>
          </w:p>
        </w:tc>
      </w:tr>
      <w:tr>
        <w:tc>
          <w:tcPr>
            <w:tcW w:type="dxa" w:w="3552"/>
            <w:vAlign w:val="top"/>
          </w:tcPr>
          <w:p>
            <w:r>
              <w:rPr>
                <w:sz w:val="16"/>
              </w:rPr>
              <w:t>Cost overrun +20%</w:t>
            </w:r>
          </w:p>
        </w:tc>
        <w:tc>
          <w:tcPr>
            <w:tcW w:type="dxa" w:w="3552"/>
            <w:vAlign w:val="top"/>
          </w:tcPr>
          <w:p>
            <w:r>
              <w:rPr>
                <w:sz w:val="16"/>
              </w:rPr>
              <w:t>Year 1 investment rises to $828K</w:t>
            </w:r>
          </w:p>
        </w:tc>
        <w:tc>
          <w:tcPr>
            <w:tcW w:type="dxa" w:w="3552"/>
            <w:vAlign w:val="top"/>
          </w:tcPr>
          <w:p>
            <w:r>
              <w:rPr>
                <w:sz w:val="16"/>
              </w:rPr>
              <w:t>Payback extends to approximately 4.9 months.</w:t>
            </w:r>
          </w:p>
        </w:tc>
      </w:tr>
    </w:tbl>
    <w:p>
      <w:pPr>
        <w:pStyle w:val="Heading1"/>
      </w:pPr>
      <w:r>
        <w:t>7. Risk Assessment</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top"/>
            <w:shd w:fill="EAF2F8"/>
          </w:tcPr>
          <w:p>
            <w:r>
              <w:rPr>
                <w:b/>
                <w:sz w:val="16"/>
              </w:rPr>
              <w:t>Risk</w:t>
            </w:r>
          </w:p>
        </w:tc>
        <w:tc>
          <w:tcPr>
            <w:tcW w:type="dxa" w:w="1522"/>
            <w:vAlign w:val="top"/>
            <w:shd w:fill="EAF2F8"/>
          </w:tcPr>
          <w:p>
            <w:r>
              <w:rPr>
                <w:b/>
                <w:sz w:val="16"/>
              </w:rPr>
              <w:t>Likelihood</w:t>
            </w:r>
          </w:p>
        </w:tc>
        <w:tc>
          <w:tcPr>
            <w:tcW w:type="dxa" w:w="1522"/>
            <w:vAlign w:val="top"/>
            <w:shd w:fill="EAF2F8"/>
          </w:tcPr>
          <w:p>
            <w:r>
              <w:rPr>
                <w:b/>
                <w:sz w:val="16"/>
              </w:rPr>
              <w:t>Impact</w:t>
            </w:r>
          </w:p>
        </w:tc>
        <w:tc>
          <w:tcPr>
            <w:tcW w:type="dxa" w:w="1522"/>
            <w:vAlign w:val="top"/>
            <w:shd w:fill="EAF2F8"/>
          </w:tcPr>
          <w:p>
            <w:r>
              <w:rPr>
                <w:b/>
                <w:sz w:val="16"/>
              </w:rPr>
              <w:t>Severity</w:t>
            </w:r>
          </w:p>
        </w:tc>
        <w:tc>
          <w:tcPr>
            <w:tcW w:type="dxa" w:w="1522"/>
            <w:vAlign w:val="top"/>
            <w:shd w:fill="EAF2F8"/>
          </w:tcPr>
          <w:p>
            <w:r>
              <w:rPr>
                <w:b/>
                <w:sz w:val="16"/>
              </w:rPr>
              <w:t>Mitigation</w:t>
            </w:r>
          </w:p>
        </w:tc>
        <w:tc>
          <w:tcPr>
            <w:tcW w:type="dxa" w:w="1522"/>
            <w:vAlign w:val="top"/>
            <w:shd w:fill="EAF2F8"/>
          </w:tcPr>
          <w:p>
            <w:r>
              <w:rPr>
                <w:b/>
                <w:sz w:val="16"/>
              </w:rPr>
              <w:t>Residual Risk</w:t>
            </w:r>
          </w:p>
        </w:tc>
        <w:tc>
          <w:tcPr>
            <w:tcW w:type="dxa" w:w="1522"/>
            <w:vAlign w:val="top"/>
            <w:shd w:fill="EAF2F8"/>
          </w:tcPr>
          <w:p>
            <w:r>
              <w:rPr>
                <w:b/>
                <w:sz w:val="16"/>
              </w:rPr>
              <w:t>Owner</w:t>
            </w:r>
          </w:p>
        </w:tc>
      </w:tr>
      <w:tr>
        <w:tc>
          <w:tcPr>
            <w:tcW w:type="dxa" w:w="1522"/>
            <w:vAlign w:val="top"/>
          </w:tcPr>
          <w:p>
            <w:r>
              <w:rPr>
                <w:sz w:val="16"/>
              </w:rPr>
              <w:t>Supervisor adoption risk: supervisors may bypass readiness gates under daily schedule pressure.</w:t>
            </w:r>
          </w:p>
        </w:tc>
        <w:tc>
          <w:tcPr>
            <w:tcW w:type="dxa" w:w="1522"/>
            <w:vAlign w:val="top"/>
          </w:tcPr>
          <w:p>
            <w:r>
              <w:rPr>
                <w:sz w:val="16"/>
              </w:rPr>
              <w:t>Medium</w:t>
            </w:r>
          </w:p>
        </w:tc>
        <w:tc>
          <w:tcPr>
            <w:tcW w:type="dxa" w:w="1522"/>
            <w:vAlign w:val="top"/>
          </w:tcPr>
          <w:p>
            <w:r>
              <w:rPr>
                <w:sz w:val="16"/>
              </w:rPr>
              <w:t>High</w:t>
            </w:r>
          </w:p>
        </w:tc>
        <w:tc>
          <w:tcPr>
            <w:tcW w:type="dxa" w:w="1522"/>
            <w:vAlign w:val="top"/>
          </w:tcPr>
          <w:p>
            <w:r>
              <w:rPr>
                <w:sz w:val="16"/>
              </w:rPr>
              <w:t>High</w:t>
            </w:r>
          </w:p>
        </w:tc>
        <w:tc>
          <w:tcPr>
            <w:tcW w:type="dxa" w:w="1522"/>
            <w:vAlign w:val="top"/>
          </w:tcPr>
          <w:p>
            <w:r>
              <w:rPr>
                <w:sz w:val="16"/>
              </w:rPr>
              <w:t>Use daily exception review, pilot office hours, and VP Operations reinforcement during the first 60 days.</w:t>
            </w:r>
          </w:p>
        </w:tc>
        <w:tc>
          <w:tcPr>
            <w:tcW w:type="dxa" w:w="1522"/>
            <w:vAlign w:val="top"/>
          </w:tcPr>
          <w:p>
            <w:r>
              <w:rPr>
                <w:sz w:val="16"/>
              </w:rPr>
              <w:t>Medium</w:t>
            </w:r>
          </w:p>
        </w:tc>
        <w:tc>
          <w:tcPr>
            <w:tcW w:type="dxa" w:w="1522"/>
            <w:vAlign w:val="top"/>
          </w:tcPr>
          <w:p>
            <w:r>
              <w:rPr>
                <w:sz w:val="16"/>
              </w:rPr>
              <w:t>Regional service directors</w:t>
            </w:r>
          </w:p>
        </w:tc>
      </w:tr>
      <w:tr>
        <w:tc>
          <w:tcPr>
            <w:tcW w:type="dxa" w:w="1522"/>
            <w:vAlign w:val="top"/>
          </w:tcPr>
          <w:p>
            <w:r>
              <w:rPr>
                <w:sz w:val="16"/>
              </w:rPr>
              <w:t>Data quality risk: inventory and work-order data may not be reliable enough for automated readiness flags.</w:t>
            </w:r>
          </w:p>
        </w:tc>
        <w:tc>
          <w:tcPr>
            <w:tcW w:type="dxa" w:w="1522"/>
            <w:vAlign w:val="top"/>
          </w:tcPr>
          <w:p>
            <w:r>
              <w:rPr>
                <w:sz w:val="16"/>
              </w:rPr>
              <w:t>Medium</w:t>
            </w:r>
          </w:p>
        </w:tc>
        <w:tc>
          <w:tcPr>
            <w:tcW w:type="dxa" w:w="1522"/>
            <w:vAlign w:val="top"/>
          </w:tcPr>
          <w:p>
            <w:r>
              <w:rPr>
                <w:sz w:val="16"/>
              </w:rPr>
              <w:t>High</w:t>
            </w:r>
          </w:p>
        </w:tc>
        <w:tc>
          <w:tcPr>
            <w:tcW w:type="dxa" w:w="1522"/>
            <w:vAlign w:val="top"/>
          </w:tcPr>
          <w:p>
            <w:r>
              <w:rPr>
                <w:sz w:val="16"/>
              </w:rPr>
              <w:t>High</w:t>
            </w:r>
          </w:p>
        </w:tc>
        <w:tc>
          <w:tcPr>
            <w:tcW w:type="dxa" w:w="1522"/>
            <w:vAlign w:val="top"/>
          </w:tcPr>
          <w:p>
            <w:r>
              <w:rPr>
                <w:sz w:val="16"/>
              </w:rPr>
              <w:t>Run Phase 0 data profiling and manual validation before automated flags are used for decisions.</w:t>
            </w:r>
          </w:p>
        </w:tc>
        <w:tc>
          <w:tcPr>
            <w:tcW w:type="dxa" w:w="1522"/>
            <w:vAlign w:val="top"/>
          </w:tcPr>
          <w:p>
            <w:r>
              <w:rPr>
                <w:sz w:val="16"/>
              </w:rPr>
              <w:t>Medium</w:t>
            </w:r>
          </w:p>
        </w:tc>
        <w:tc>
          <w:tcPr>
            <w:tcW w:type="dxa" w:w="1522"/>
            <w:vAlign w:val="top"/>
          </w:tcPr>
          <w:p>
            <w:r>
              <w:rPr>
                <w:sz w:val="16"/>
              </w:rPr>
              <w:t>IT applications lead</w:t>
            </w:r>
          </w:p>
        </w:tc>
      </w:tr>
      <w:tr>
        <w:tc>
          <w:tcPr>
            <w:tcW w:type="dxa" w:w="1522"/>
            <w:vAlign w:val="top"/>
          </w:tcPr>
          <w:p>
            <w:r>
              <w:rPr>
                <w:sz w:val="16"/>
              </w:rPr>
              <w:t>Pilot representativeness risk: selected regions may not generalize to national rollout.</w:t>
            </w:r>
          </w:p>
        </w:tc>
        <w:tc>
          <w:tcPr>
            <w:tcW w:type="dxa" w:w="1522"/>
            <w:vAlign w:val="top"/>
          </w:tcPr>
          <w:p>
            <w:r>
              <w:rPr>
                <w:sz w:val="16"/>
              </w:rPr>
              <w:t>Medium</w:t>
            </w:r>
          </w:p>
        </w:tc>
        <w:tc>
          <w:tcPr>
            <w:tcW w:type="dxa" w:w="1522"/>
            <w:vAlign w:val="top"/>
          </w:tcPr>
          <w:p>
            <w:r>
              <w:rPr>
                <w:sz w:val="16"/>
              </w:rPr>
              <w:t>Medium</w:t>
            </w:r>
          </w:p>
        </w:tc>
        <w:tc>
          <w:tcPr>
            <w:tcW w:type="dxa" w:w="1522"/>
            <w:vAlign w:val="top"/>
          </w:tcPr>
          <w:p>
            <w:r>
              <w:rPr>
                <w:sz w:val="16"/>
              </w:rPr>
              <w:t>Medium</w:t>
            </w:r>
          </w:p>
        </w:tc>
        <w:tc>
          <w:tcPr>
            <w:tcW w:type="dxa" w:w="1522"/>
            <w:vAlign w:val="top"/>
          </w:tcPr>
          <w:p>
            <w:r>
              <w:rPr>
                <w:sz w:val="16"/>
              </w:rPr>
              <w:t>Select regions with different route density and parts mix; require scale-decision evidence by segment.</w:t>
            </w:r>
          </w:p>
        </w:tc>
        <w:tc>
          <w:tcPr>
            <w:tcW w:type="dxa" w:w="1522"/>
            <w:vAlign w:val="top"/>
          </w:tcPr>
          <w:p>
            <w:r>
              <w:rPr>
                <w:sz w:val="16"/>
              </w:rPr>
              <w:t>Low</w:t>
            </w:r>
          </w:p>
        </w:tc>
        <w:tc>
          <w:tcPr>
            <w:tcW w:type="dxa" w:w="1522"/>
            <w:vAlign w:val="top"/>
          </w:tcPr>
          <w:p>
            <w:r>
              <w:rPr>
                <w:sz w:val="16"/>
              </w:rPr>
              <w:t>VP Operations</w:t>
            </w:r>
          </w:p>
        </w:tc>
      </w:tr>
      <w:tr>
        <w:tc>
          <w:tcPr>
            <w:tcW w:type="dxa" w:w="1522"/>
            <w:vAlign w:val="top"/>
          </w:tcPr>
          <w:p>
            <w:r>
              <w:rPr>
                <w:sz w:val="16"/>
              </w:rPr>
              <w:t>Change load risk: technicians may perceive readiness checks as administrative overhead.</w:t>
            </w:r>
          </w:p>
        </w:tc>
        <w:tc>
          <w:tcPr>
            <w:tcW w:type="dxa" w:w="1522"/>
            <w:vAlign w:val="top"/>
          </w:tcPr>
          <w:p>
            <w:r>
              <w:rPr>
                <w:sz w:val="16"/>
              </w:rPr>
              <w:t>Medium</w:t>
            </w:r>
          </w:p>
        </w:tc>
        <w:tc>
          <w:tcPr>
            <w:tcW w:type="dxa" w:w="1522"/>
            <w:vAlign w:val="top"/>
          </w:tcPr>
          <w:p>
            <w:r>
              <w:rPr>
                <w:sz w:val="16"/>
              </w:rPr>
              <w:t>Medium</w:t>
            </w:r>
          </w:p>
        </w:tc>
        <w:tc>
          <w:tcPr>
            <w:tcW w:type="dxa" w:w="1522"/>
            <w:vAlign w:val="top"/>
          </w:tcPr>
          <w:p>
            <w:r>
              <w:rPr>
                <w:sz w:val="16"/>
              </w:rPr>
              <w:t>Medium</w:t>
            </w:r>
          </w:p>
        </w:tc>
        <w:tc>
          <w:tcPr>
            <w:tcW w:type="dxa" w:w="1522"/>
            <w:vAlign w:val="top"/>
          </w:tcPr>
          <w:p>
            <w:r>
              <w:rPr>
                <w:sz w:val="16"/>
              </w:rPr>
              <w:t>Limit technician-facing changes; route most readiness work through dispatch and supervisor workflows.</w:t>
            </w:r>
          </w:p>
        </w:tc>
        <w:tc>
          <w:tcPr>
            <w:tcW w:type="dxa" w:w="1522"/>
            <w:vAlign w:val="top"/>
          </w:tcPr>
          <w:p>
            <w:r>
              <w:rPr>
                <w:sz w:val="16"/>
              </w:rPr>
              <w:t>Low</w:t>
            </w:r>
          </w:p>
        </w:tc>
        <w:tc>
          <w:tcPr>
            <w:tcW w:type="dxa" w:w="1522"/>
            <w:vAlign w:val="top"/>
          </w:tcPr>
          <w:p>
            <w:r>
              <w:rPr>
                <w:sz w:val="16"/>
              </w:rPr>
              <w:t>Change lead</w:t>
            </w:r>
          </w:p>
        </w:tc>
      </w:tr>
    </w:tbl>
    <w:p>
      <w:pPr>
        <w:pStyle w:val="Heading2"/>
      </w:pPr>
      <w:r>
        <w:t>Constraints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AF2F8"/>
          </w:tcPr>
          <w:p>
            <w:r>
              <w:rPr>
                <w:b/>
                <w:sz w:val="16"/>
              </w:rPr>
              <w:t>Constraint</w:t>
            </w:r>
          </w:p>
        </w:tc>
        <w:tc>
          <w:tcPr>
            <w:tcW w:type="dxa" w:w="5328"/>
            <w:vAlign w:val="top"/>
            <w:shd w:fill="EAF2F8"/>
          </w:tcPr>
          <w:p>
            <w:r>
              <w:rPr>
                <w:b/>
                <w:sz w:val="16"/>
              </w:rPr>
              <w:t>Impact</w:t>
            </w:r>
          </w:p>
        </w:tc>
      </w:tr>
      <w:tr>
        <w:tc>
          <w:tcPr>
            <w:tcW w:type="dxa" w:w="5328"/>
            <w:vAlign w:val="top"/>
          </w:tcPr>
          <w:p>
            <w:r>
              <w:rPr>
                <w:sz w:val="16"/>
              </w:rPr>
              <w:t>No full platform replacement in Phase 1</w:t>
            </w:r>
          </w:p>
        </w:tc>
        <w:tc>
          <w:tcPr>
            <w:tcW w:type="dxa" w:w="5328"/>
            <w:vAlign w:val="top"/>
          </w:tcPr>
          <w:p>
            <w:r>
              <w:rPr>
                <w:sz w:val="16"/>
              </w:rPr>
              <w:t>Pilot must use existing systems and lightweight workflow/reporting.</w:t>
            </w:r>
          </w:p>
        </w:tc>
      </w:tr>
      <w:tr>
        <w:tc>
          <w:tcPr>
            <w:tcW w:type="dxa" w:w="5328"/>
            <w:vAlign w:val="top"/>
          </w:tcPr>
          <w:p>
            <w:r>
              <w:rPr>
                <w:sz w:val="16"/>
              </w:rPr>
              <w:t>Pilot must not disrupt peak-season readiness</w:t>
            </w:r>
          </w:p>
        </w:tc>
        <w:tc>
          <w:tcPr>
            <w:tcW w:type="dxa" w:w="5328"/>
            <w:vAlign w:val="top"/>
          </w:tcPr>
          <w:p>
            <w:r>
              <w:rPr>
                <w:sz w:val="16"/>
              </w:rPr>
              <w:t>Implementation must complete before Q4 freeze.</w:t>
            </w:r>
          </w:p>
        </w:tc>
      </w:tr>
    </w:tbl>
    <w:p>
      <w:pPr>
        <w:pStyle w:val="Heading1"/>
      </w:pPr>
      <w:r>
        <w:t>8. Implementation Roadmap</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EAF2F8"/>
          </w:tcPr>
          <w:p>
            <w:r>
              <w:rPr>
                <w:b/>
                <w:sz w:val="16"/>
              </w:rPr>
              <w:t>Phase</w:t>
            </w:r>
          </w:p>
        </w:tc>
        <w:tc>
          <w:tcPr>
            <w:tcW w:type="dxa" w:w="2131"/>
            <w:vAlign w:val="top"/>
            <w:shd w:fill="EAF2F8"/>
          </w:tcPr>
          <w:p>
            <w:r>
              <w:rPr>
                <w:b/>
                <w:sz w:val="16"/>
              </w:rPr>
              <w:t>Milestone</w:t>
            </w:r>
          </w:p>
        </w:tc>
        <w:tc>
          <w:tcPr>
            <w:tcW w:type="dxa" w:w="2131"/>
            <w:vAlign w:val="top"/>
            <w:shd w:fill="EAF2F8"/>
          </w:tcPr>
          <w:p>
            <w:r>
              <w:rPr>
                <w:b/>
                <w:sz w:val="16"/>
              </w:rPr>
              <w:t>Timing</w:t>
            </w:r>
          </w:p>
        </w:tc>
        <w:tc>
          <w:tcPr>
            <w:tcW w:type="dxa" w:w="2131"/>
            <w:vAlign w:val="top"/>
            <w:shd w:fill="EAF2F8"/>
          </w:tcPr>
          <w:p>
            <w:r>
              <w:rPr>
                <w:b/>
                <w:sz w:val="16"/>
              </w:rPr>
              <w:t>Owner</w:t>
            </w:r>
          </w:p>
        </w:tc>
        <w:tc>
          <w:tcPr>
            <w:tcW w:type="dxa" w:w="2131"/>
            <w:vAlign w:val="top"/>
            <w:shd w:fill="EAF2F8"/>
          </w:tcPr>
          <w:p>
            <w:r>
              <w:rPr>
                <w:b/>
                <w:sz w:val="16"/>
              </w:rPr>
              <w:t>Deliverables</w:t>
            </w:r>
          </w:p>
        </w:tc>
      </w:tr>
      <w:tr>
        <w:tc>
          <w:tcPr>
            <w:tcW w:type="dxa" w:w="2131"/>
            <w:vAlign w:val="top"/>
          </w:tcPr>
          <w:p>
            <w:r>
              <w:rPr>
                <w:sz w:val="16"/>
              </w:rPr>
              <w:t>Phase 0</w:t>
            </w:r>
          </w:p>
        </w:tc>
        <w:tc>
          <w:tcPr>
            <w:tcW w:type="dxa" w:w="2131"/>
            <w:vAlign w:val="top"/>
          </w:tcPr>
          <w:p>
            <w:r>
              <w:rPr>
                <w:sz w:val="16"/>
              </w:rPr>
              <w:t>Readiness and baseline validation</w:t>
            </w:r>
          </w:p>
        </w:tc>
        <w:tc>
          <w:tcPr>
            <w:tcW w:type="dxa" w:w="2131"/>
            <w:vAlign w:val="top"/>
          </w:tcPr>
          <w:p>
            <w:r>
              <w:rPr>
                <w:sz w:val="16"/>
              </w:rPr>
              <w:t>Weeks 1-3</w:t>
            </w:r>
          </w:p>
        </w:tc>
        <w:tc>
          <w:tcPr>
            <w:tcW w:type="dxa" w:w="2131"/>
            <w:vAlign w:val="top"/>
          </w:tcPr>
          <w:p>
            <w:r>
              <w:rPr>
                <w:sz w:val="16"/>
              </w:rPr>
              <w:t>Operations PM</w:t>
            </w:r>
          </w:p>
        </w:tc>
        <w:tc>
          <w:tcPr>
            <w:tcW w:type="dxa" w:w="2131"/>
            <w:vAlign w:val="top"/>
          </w:tcPr>
          <w:p>
            <w:r>
              <w:rPr>
                <w:sz w:val="16"/>
              </w:rPr>
              <w:t>Baseline metrics, data quality report, pilot region selection</w:t>
            </w:r>
          </w:p>
        </w:tc>
      </w:tr>
      <w:tr>
        <w:tc>
          <w:tcPr>
            <w:tcW w:type="dxa" w:w="2131"/>
            <w:vAlign w:val="top"/>
          </w:tcPr>
          <w:p>
            <w:r>
              <w:rPr>
                <w:sz w:val="16"/>
              </w:rPr>
              <w:t>Phase 1</w:t>
            </w:r>
          </w:p>
        </w:tc>
        <w:tc>
          <w:tcPr>
            <w:tcW w:type="dxa" w:w="2131"/>
            <w:vAlign w:val="top"/>
          </w:tcPr>
          <w:p>
            <w:r>
              <w:rPr>
                <w:sz w:val="16"/>
              </w:rPr>
              <w:t>Workflow and dashboard configuration</w:t>
            </w:r>
          </w:p>
        </w:tc>
        <w:tc>
          <w:tcPr>
            <w:tcW w:type="dxa" w:w="2131"/>
            <w:vAlign w:val="top"/>
          </w:tcPr>
          <w:p>
            <w:r>
              <w:rPr>
                <w:sz w:val="16"/>
              </w:rPr>
              <w:t>Weeks 4-8</w:t>
            </w:r>
          </w:p>
        </w:tc>
        <w:tc>
          <w:tcPr>
            <w:tcW w:type="dxa" w:w="2131"/>
            <w:vAlign w:val="top"/>
          </w:tcPr>
          <w:p>
            <w:r>
              <w:rPr>
                <w:sz w:val="16"/>
              </w:rPr>
              <w:t>IT applications lead</w:t>
            </w:r>
          </w:p>
        </w:tc>
        <w:tc>
          <w:tcPr>
            <w:tcW w:type="dxa" w:w="2131"/>
            <w:vAlign w:val="top"/>
          </w:tcPr>
          <w:p>
            <w:r>
              <w:rPr>
                <w:sz w:val="16"/>
              </w:rPr>
              <w:t>Exception queue, readiness dashboard, reporting cadence</w:t>
            </w:r>
          </w:p>
        </w:tc>
      </w:tr>
      <w:tr>
        <w:tc>
          <w:tcPr>
            <w:tcW w:type="dxa" w:w="2131"/>
            <w:vAlign w:val="top"/>
          </w:tcPr>
          <w:p>
            <w:r>
              <w:rPr>
                <w:sz w:val="16"/>
              </w:rPr>
              <w:t>Phase 2</w:t>
            </w:r>
          </w:p>
        </w:tc>
        <w:tc>
          <w:tcPr>
            <w:tcW w:type="dxa" w:w="2131"/>
            <w:vAlign w:val="top"/>
          </w:tcPr>
          <w:p>
            <w:r>
              <w:rPr>
                <w:sz w:val="16"/>
              </w:rPr>
              <w:t>Two-region pilot</w:t>
            </w:r>
          </w:p>
        </w:tc>
        <w:tc>
          <w:tcPr>
            <w:tcW w:type="dxa" w:w="2131"/>
            <w:vAlign w:val="top"/>
          </w:tcPr>
          <w:p>
            <w:r>
              <w:rPr>
                <w:sz w:val="16"/>
              </w:rPr>
              <w:t>Weeks 9-20</w:t>
            </w:r>
          </w:p>
        </w:tc>
        <w:tc>
          <w:tcPr>
            <w:tcW w:type="dxa" w:w="2131"/>
            <w:vAlign w:val="top"/>
          </w:tcPr>
          <w:p>
            <w:r>
              <w:rPr>
                <w:sz w:val="16"/>
              </w:rPr>
              <w:t>Regional service directors</w:t>
            </w:r>
          </w:p>
        </w:tc>
        <w:tc>
          <w:tcPr>
            <w:tcW w:type="dxa" w:w="2131"/>
            <w:vAlign w:val="top"/>
          </w:tcPr>
          <w:p>
            <w:r>
              <w:rPr>
                <w:sz w:val="16"/>
              </w:rPr>
              <w:t>Daily adoption review, weekly metrics, issue log</w:t>
            </w:r>
          </w:p>
        </w:tc>
      </w:tr>
      <w:tr>
        <w:tc>
          <w:tcPr>
            <w:tcW w:type="dxa" w:w="2131"/>
            <w:vAlign w:val="top"/>
          </w:tcPr>
          <w:p>
            <w:r>
              <w:rPr>
                <w:sz w:val="16"/>
              </w:rPr>
              <w:t>Phase 3</w:t>
            </w:r>
          </w:p>
        </w:tc>
        <w:tc>
          <w:tcPr>
            <w:tcW w:type="dxa" w:w="2131"/>
            <w:vAlign w:val="top"/>
          </w:tcPr>
          <w:p>
            <w:r>
              <w:rPr>
                <w:sz w:val="16"/>
              </w:rPr>
              <w:t>Scale decision</w:t>
            </w:r>
          </w:p>
        </w:tc>
        <w:tc>
          <w:tcPr>
            <w:tcW w:type="dxa" w:w="2131"/>
            <w:vAlign w:val="top"/>
          </w:tcPr>
          <w:p>
            <w:r>
              <w:rPr>
                <w:sz w:val="16"/>
              </w:rPr>
              <w:t>Week 21</w:t>
            </w:r>
          </w:p>
        </w:tc>
        <w:tc>
          <w:tcPr>
            <w:tcW w:type="dxa" w:w="2131"/>
            <w:vAlign w:val="top"/>
          </w:tcPr>
          <w:p>
            <w:r>
              <w:rPr>
                <w:sz w:val="16"/>
              </w:rPr>
              <w:t>VP Operations and CFO</w:t>
            </w:r>
          </w:p>
        </w:tc>
        <w:tc>
          <w:tcPr>
            <w:tcW w:type="dxa" w:w="2131"/>
            <w:vAlign w:val="top"/>
          </w:tcPr>
          <w:p>
            <w:r>
              <w:rPr>
                <w:sz w:val="16"/>
              </w:rPr>
              <w:t>Pilot results, financial validation, rollout recommendation</w:t>
            </w:r>
          </w:p>
        </w:tc>
      </w:tr>
    </w:tbl>
    <w:p>
      <w:pPr>
        <w:pStyle w:val="Heading2"/>
      </w:pPr>
      <w:r>
        <w:t>Resource Requirements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EAF2F8"/>
          </w:tcPr>
          <w:p>
            <w:r>
              <w:rPr>
                <w:b/>
                <w:sz w:val="16"/>
              </w:rPr>
              <w:t>Phase</w:t>
            </w:r>
          </w:p>
        </w:tc>
        <w:tc>
          <w:tcPr>
            <w:tcW w:type="dxa" w:w="2131"/>
            <w:vAlign w:val="top"/>
            <w:shd w:fill="EAF2F8"/>
          </w:tcPr>
          <w:p>
            <w:r>
              <w:rPr>
                <w:b/>
                <w:sz w:val="16"/>
              </w:rPr>
              <w:t>Internal FTEs</w:t>
            </w:r>
          </w:p>
        </w:tc>
        <w:tc>
          <w:tcPr>
            <w:tcW w:type="dxa" w:w="2131"/>
            <w:vAlign w:val="top"/>
            <w:shd w:fill="EAF2F8"/>
          </w:tcPr>
          <w:p>
            <w:r>
              <w:rPr>
                <w:b/>
                <w:sz w:val="16"/>
              </w:rPr>
              <w:t>External / Vendor</w:t>
            </w:r>
          </w:p>
        </w:tc>
        <w:tc>
          <w:tcPr>
            <w:tcW w:type="dxa" w:w="2131"/>
            <w:vAlign w:val="top"/>
            <w:shd w:fill="EAF2F8"/>
          </w:tcPr>
          <w:p>
            <w:r>
              <w:rPr>
                <w:b/>
                <w:sz w:val="16"/>
              </w:rPr>
              <w:t>Technology</w:t>
            </w:r>
          </w:p>
        </w:tc>
        <w:tc>
          <w:tcPr>
            <w:tcW w:type="dxa" w:w="2131"/>
            <w:vAlign w:val="top"/>
            <w:shd w:fill="EAF2F8"/>
          </w:tcPr>
          <w:p>
            <w:r>
              <w:rPr>
                <w:b/>
                <w:sz w:val="16"/>
              </w:rPr>
              <w:t>Dependencies</w:t>
            </w:r>
          </w:p>
        </w:tc>
      </w:tr>
      <w:tr>
        <w:tc>
          <w:tcPr>
            <w:tcW w:type="dxa" w:w="2131"/>
            <w:vAlign w:val="top"/>
          </w:tcPr>
          <w:p>
            <w:r>
              <w:rPr>
                <w:sz w:val="16"/>
              </w:rPr>
              <w:t>Phase 0</w:t>
            </w:r>
          </w:p>
        </w:tc>
        <w:tc>
          <w:tcPr>
            <w:tcW w:type="dxa" w:w="2131"/>
            <w:vAlign w:val="top"/>
          </w:tcPr>
          <w:p>
            <w:r>
              <w:rPr>
                <w:sz w:val="16"/>
              </w:rPr>
              <w:t>1.5 FTE equivalent</w:t>
            </w:r>
          </w:p>
        </w:tc>
        <w:tc>
          <w:tcPr>
            <w:tcW w:type="dxa" w:w="2131"/>
            <w:vAlign w:val="top"/>
          </w:tcPr>
          <w:p>
            <w:r>
              <w:rPr>
                <w:sz w:val="16"/>
              </w:rPr>
              <w:t>None</w:t>
            </w:r>
          </w:p>
        </w:tc>
        <w:tc>
          <w:tcPr>
            <w:tcW w:type="dxa" w:w="2131"/>
            <w:vAlign w:val="top"/>
          </w:tcPr>
          <w:p>
            <w:r>
              <w:rPr>
                <w:sz w:val="16"/>
              </w:rPr>
              <w:t>Data extracts</w:t>
            </w:r>
          </w:p>
        </w:tc>
        <w:tc>
          <w:tcPr>
            <w:tcW w:type="dxa" w:w="2131"/>
            <w:vAlign w:val="top"/>
          </w:tcPr>
          <w:p>
            <w:r>
              <w:rPr>
                <w:sz w:val="16"/>
              </w:rPr>
              <w:t>Work-order and inventory access</w:t>
            </w:r>
          </w:p>
        </w:tc>
      </w:tr>
      <w:tr>
        <w:tc>
          <w:tcPr>
            <w:tcW w:type="dxa" w:w="2131"/>
            <w:vAlign w:val="top"/>
          </w:tcPr>
          <w:p>
            <w:r>
              <w:rPr>
                <w:sz w:val="16"/>
              </w:rPr>
              <w:t>Phase 1</w:t>
            </w:r>
          </w:p>
        </w:tc>
        <w:tc>
          <w:tcPr>
            <w:tcW w:type="dxa" w:w="2131"/>
            <w:vAlign w:val="top"/>
          </w:tcPr>
          <w:p>
            <w:r>
              <w:rPr>
                <w:sz w:val="16"/>
              </w:rPr>
              <w:t>2.0 FTE equivalent</w:t>
            </w:r>
          </w:p>
        </w:tc>
        <w:tc>
          <w:tcPr>
            <w:tcW w:type="dxa" w:w="2131"/>
            <w:vAlign w:val="top"/>
          </w:tcPr>
          <w:p>
            <w:r>
              <w:rPr>
                <w:sz w:val="16"/>
              </w:rPr>
              <w:t>Workflow/reporting vendor</w:t>
            </w:r>
          </w:p>
        </w:tc>
        <w:tc>
          <w:tcPr>
            <w:tcW w:type="dxa" w:w="2131"/>
            <w:vAlign w:val="top"/>
          </w:tcPr>
          <w:p>
            <w:r>
              <w:rPr>
                <w:sz w:val="16"/>
              </w:rPr>
              <w:t>Dashboard and exception workflow</w:t>
            </w:r>
          </w:p>
        </w:tc>
        <w:tc>
          <w:tcPr>
            <w:tcW w:type="dxa" w:w="2131"/>
            <w:vAlign w:val="top"/>
          </w:tcPr>
          <w:p>
            <w:r>
              <w:rPr>
                <w:sz w:val="16"/>
              </w:rPr>
              <w:t>Data-quality signoff</w:t>
            </w:r>
          </w:p>
        </w:tc>
      </w:tr>
      <w:tr>
        <w:tc>
          <w:tcPr>
            <w:tcW w:type="dxa" w:w="2131"/>
            <w:vAlign w:val="top"/>
          </w:tcPr>
          <w:p>
            <w:r>
              <w:rPr>
                <w:sz w:val="16"/>
              </w:rPr>
              <w:t>Phase 2</w:t>
            </w:r>
          </w:p>
        </w:tc>
        <w:tc>
          <w:tcPr>
            <w:tcW w:type="dxa" w:w="2131"/>
            <w:vAlign w:val="top"/>
          </w:tcPr>
          <w:p>
            <w:r>
              <w:rPr>
                <w:sz w:val="16"/>
              </w:rPr>
              <w:t>3.0 FTE equivalent across regions</w:t>
            </w:r>
          </w:p>
        </w:tc>
        <w:tc>
          <w:tcPr>
            <w:tcW w:type="dxa" w:w="2131"/>
            <w:vAlign w:val="top"/>
          </w:tcPr>
          <w:p>
            <w:r>
              <w:rPr>
                <w:sz w:val="16"/>
              </w:rPr>
              <w:t>Adoption support</w:t>
            </w:r>
          </w:p>
        </w:tc>
        <w:tc>
          <w:tcPr>
            <w:tcW w:type="dxa" w:w="2131"/>
            <w:vAlign w:val="top"/>
          </w:tcPr>
          <w:p>
            <w:r>
              <w:rPr>
                <w:sz w:val="16"/>
              </w:rPr>
              <w:t>Pilot reporting</w:t>
            </w:r>
          </w:p>
        </w:tc>
        <w:tc>
          <w:tcPr>
            <w:tcW w:type="dxa" w:w="2131"/>
            <w:vAlign w:val="top"/>
          </w:tcPr>
          <w:p>
            <w:r>
              <w:rPr>
                <w:sz w:val="16"/>
              </w:rPr>
              <w:t>Supervisor training complete</w:t>
            </w:r>
          </w:p>
        </w:tc>
      </w:tr>
    </w:tbl>
    <w:p>
      <w:pPr>
        <w:pStyle w:val="Heading2"/>
      </w:pPr>
      <w:r>
        <w:t>Critical Path Items</w:t>
      </w:r>
    </w:p>
    <w:p>
      <w:pPr>
        <w:pStyle w:val="ListBullet"/>
      </w:pPr>
      <w:r>
        <w:t>Data profiling completion</w:t>
      </w:r>
    </w:p>
    <w:p>
      <w:pPr>
        <w:pStyle w:val="ListBullet"/>
      </w:pPr>
      <w:r>
        <w:t>Supervisor training calendar</w:t>
      </w:r>
    </w:p>
    <w:p>
      <w:pPr>
        <w:pStyle w:val="ListBullet"/>
      </w:pPr>
      <w:r>
        <w:t>Exception workflow configuration</w:t>
      </w:r>
    </w:p>
    <w:p>
      <w:pPr>
        <w:pStyle w:val="ListBullet"/>
      </w:pPr>
      <w:r>
        <w:t>Pilot region readiness signoff</w:t>
      </w:r>
    </w:p>
    <w:p>
      <w:pPr>
        <w:pStyle w:val="Heading2"/>
      </w:pPr>
      <w:r>
        <w:t>90-Day Quick Wins</w:t>
      </w:r>
    </w:p>
    <w:p>
      <w:pPr>
        <w:pStyle w:val="ListBullet"/>
      </w:pPr>
      <w:r>
        <w:t>Baseline dashboard available within 30 days</w:t>
      </w:r>
    </w:p>
    <w:p>
      <w:pPr>
        <w:pStyle w:val="ListBullet"/>
      </w:pPr>
      <w:r>
        <w:t>At-risk appointments visible before daily dispatch lock</w:t>
      </w:r>
    </w:p>
    <w:p>
      <w:pPr>
        <w:pStyle w:val="ListBullet"/>
      </w:pPr>
      <w:r>
        <w:t>Weekly repeat-visit trend by cause code</w:t>
      </w:r>
    </w:p>
    <w:p>
      <w:pPr>
        <w:pStyle w:val="Heading1"/>
      </w:pPr>
      <w:r>
        <w:t>9. Governance &amp; Decision Framework</w:t>
      </w:r>
    </w:p>
    <w:p>
      <w:r>
        <w:t>A weekly pilot operating review will track adoption, repeat visits, parts-not-ready exceptions, overtime, and customer appointment reliability. A steering review at the end of Phase 2 will decide whether to scale, revise, or stop.</w:t>
      </w:r>
    </w:p>
    <w:p>
      <w:pPr>
        <w:pStyle w:val="Heading2"/>
      </w:pPr>
      <w:r>
        <w:t>Decision Authority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EAF2F8"/>
          </w:tcPr>
          <w:p>
            <w:r>
              <w:rPr>
                <w:b/>
                <w:sz w:val="16"/>
              </w:rPr>
              <w:t>Decision Type</w:t>
            </w:r>
          </w:p>
        </w:tc>
        <w:tc>
          <w:tcPr>
            <w:tcW w:type="dxa" w:w="2131"/>
            <w:vAlign w:val="top"/>
            <w:shd w:fill="EAF2F8"/>
          </w:tcPr>
          <w:p>
            <w:r>
              <w:rPr>
                <w:b/>
                <w:sz w:val="16"/>
              </w:rPr>
              <w:t>Accountable</w:t>
            </w:r>
          </w:p>
        </w:tc>
        <w:tc>
          <w:tcPr>
            <w:tcW w:type="dxa" w:w="2131"/>
            <w:vAlign w:val="top"/>
            <w:shd w:fill="EAF2F8"/>
          </w:tcPr>
          <w:p>
            <w:r>
              <w:rPr>
                <w:b/>
                <w:sz w:val="16"/>
              </w:rPr>
              <w:t>Responsible</w:t>
            </w:r>
          </w:p>
        </w:tc>
        <w:tc>
          <w:tcPr>
            <w:tcW w:type="dxa" w:w="2131"/>
            <w:vAlign w:val="top"/>
            <w:shd w:fill="EAF2F8"/>
          </w:tcPr>
          <w:p>
            <w:r>
              <w:rPr>
                <w:b/>
                <w:sz w:val="16"/>
              </w:rPr>
              <w:t>Consulted</w:t>
            </w:r>
          </w:p>
        </w:tc>
        <w:tc>
          <w:tcPr>
            <w:tcW w:type="dxa" w:w="2131"/>
            <w:vAlign w:val="top"/>
            <w:shd w:fill="EAF2F8"/>
          </w:tcPr>
          <w:p>
            <w:r>
              <w:rPr>
                <w:b/>
                <w:sz w:val="16"/>
              </w:rPr>
              <w:t>Informed</w:t>
            </w:r>
          </w:p>
        </w:tc>
      </w:tr>
      <w:tr>
        <w:tc>
          <w:tcPr>
            <w:tcW w:type="dxa" w:w="2131"/>
            <w:vAlign w:val="top"/>
          </w:tcPr>
          <w:p>
            <w:r>
              <w:rPr>
                <w:sz w:val="16"/>
              </w:rPr>
              <w:t>Phase 1 funding approval</w:t>
            </w:r>
          </w:p>
        </w:tc>
        <w:tc>
          <w:tcPr>
            <w:tcW w:type="dxa" w:w="2131"/>
            <w:vAlign w:val="top"/>
          </w:tcPr>
          <w:p>
            <w:r>
              <w:rPr>
                <w:sz w:val="16"/>
              </w:rPr>
              <w:t>CFO</w:t>
            </w:r>
          </w:p>
        </w:tc>
        <w:tc>
          <w:tcPr>
            <w:tcW w:type="dxa" w:w="2131"/>
            <w:vAlign w:val="top"/>
          </w:tcPr>
          <w:p>
            <w:r>
              <w:rPr>
                <w:sz w:val="16"/>
              </w:rPr>
              <w:t>VP Operations</w:t>
            </w:r>
          </w:p>
        </w:tc>
        <w:tc>
          <w:tcPr>
            <w:tcW w:type="dxa" w:w="2131"/>
            <w:vAlign w:val="top"/>
          </w:tcPr>
          <w:p>
            <w:r>
              <w:rPr>
                <w:sz w:val="16"/>
              </w:rPr>
              <w:t>IT applications, regional directors</w:t>
            </w:r>
          </w:p>
        </w:tc>
        <w:tc>
          <w:tcPr>
            <w:tcW w:type="dxa" w:w="2131"/>
            <w:vAlign w:val="top"/>
          </w:tcPr>
          <w:p>
            <w:r>
              <w:rPr>
                <w:sz w:val="16"/>
              </w:rPr>
              <w:t>Customer support leadership</w:t>
            </w:r>
          </w:p>
        </w:tc>
      </w:tr>
      <w:tr>
        <w:tc>
          <w:tcPr>
            <w:tcW w:type="dxa" w:w="2131"/>
            <w:vAlign w:val="top"/>
          </w:tcPr>
          <w:p>
            <w:r>
              <w:rPr>
                <w:sz w:val="16"/>
              </w:rPr>
              <w:t>Pilot scope change</w:t>
            </w:r>
          </w:p>
        </w:tc>
        <w:tc>
          <w:tcPr>
            <w:tcW w:type="dxa" w:w="2131"/>
            <w:vAlign w:val="top"/>
          </w:tcPr>
          <w:p>
            <w:r>
              <w:rPr>
                <w:sz w:val="16"/>
              </w:rPr>
              <w:t>VP Operations</w:t>
            </w:r>
          </w:p>
        </w:tc>
        <w:tc>
          <w:tcPr>
            <w:tcW w:type="dxa" w:w="2131"/>
            <w:vAlign w:val="top"/>
          </w:tcPr>
          <w:p>
            <w:r>
              <w:rPr>
                <w:sz w:val="16"/>
              </w:rPr>
              <w:t>Operations PM</w:t>
            </w:r>
          </w:p>
        </w:tc>
        <w:tc>
          <w:tcPr>
            <w:tcW w:type="dxa" w:w="2131"/>
            <w:vAlign w:val="top"/>
          </w:tcPr>
          <w:p>
            <w:r>
              <w:rPr>
                <w:sz w:val="16"/>
              </w:rPr>
              <w:t>Regional directors, IT</w:t>
            </w:r>
          </w:p>
        </w:tc>
        <w:tc>
          <w:tcPr>
            <w:tcW w:type="dxa" w:w="2131"/>
            <w:vAlign w:val="top"/>
          </w:tcPr>
          <w:p>
            <w:r>
              <w:rPr>
                <w:sz w:val="16"/>
              </w:rPr>
              <w:t>CFO</w:t>
            </w:r>
          </w:p>
        </w:tc>
      </w:tr>
      <w:tr>
        <w:tc>
          <w:tcPr>
            <w:tcW w:type="dxa" w:w="2131"/>
            <w:vAlign w:val="top"/>
          </w:tcPr>
          <w:p>
            <w:r>
              <w:rPr>
                <w:sz w:val="16"/>
              </w:rPr>
              <w:t>Scale / stop decision</w:t>
            </w:r>
          </w:p>
        </w:tc>
        <w:tc>
          <w:tcPr>
            <w:tcW w:type="dxa" w:w="2131"/>
            <w:vAlign w:val="top"/>
          </w:tcPr>
          <w:p>
            <w:r>
              <w:rPr>
                <w:sz w:val="16"/>
              </w:rPr>
              <w:t>VP Operations and CFO</w:t>
            </w:r>
          </w:p>
        </w:tc>
        <w:tc>
          <w:tcPr>
            <w:tcW w:type="dxa" w:w="2131"/>
            <w:vAlign w:val="top"/>
          </w:tcPr>
          <w:p>
            <w:r>
              <w:rPr>
                <w:sz w:val="16"/>
              </w:rPr>
              <w:t>Operations PM</w:t>
            </w:r>
          </w:p>
        </w:tc>
        <w:tc>
          <w:tcPr>
            <w:tcW w:type="dxa" w:w="2131"/>
            <w:vAlign w:val="top"/>
          </w:tcPr>
          <w:p>
            <w:r>
              <w:rPr>
                <w:sz w:val="16"/>
              </w:rPr>
              <w:t>Regional directors, customer support, IT</w:t>
            </w:r>
          </w:p>
        </w:tc>
        <w:tc>
          <w:tcPr>
            <w:tcW w:type="dxa" w:w="2131"/>
            <w:vAlign w:val="top"/>
          </w:tcPr>
          <w:p>
            <w:r>
              <w:rPr>
                <w:sz w:val="16"/>
              </w:rPr>
              <w:t>Executive staff</w:t>
            </w:r>
          </w:p>
        </w:tc>
      </w:tr>
    </w:tbl>
    <w:p>
      <w:pPr>
        <w:pStyle w:val="Heading2"/>
      </w:pPr>
      <w:r>
        <w:t>Escalation Path</w:t>
      </w:r>
    </w:p>
    <w:p>
      <w:r>
        <w:t>Pilot blockers unresolved within two business days escalate from Operations PM to Regional Service Director; unresolved cross-functional blockers escalate to VP Operations in the weekly steering review.</w:t>
      </w:r>
    </w:p>
    <w:p>
      <w:pPr>
        <w:pStyle w:val="Heading2"/>
      </w:pPr>
      <w:r>
        <w:t>Success Metrics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EAF2F8"/>
          </w:tcPr>
          <w:p>
            <w:r>
              <w:rPr>
                <w:b/>
                <w:sz w:val="16"/>
              </w:rPr>
              <w:t>Metric</w:t>
            </w:r>
          </w:p>
        </w:tc>
        <w:tc>
          <w:tcPr>
            <w:tcW w:type="dxa" w:w="2131"/>
            <w:vAlign w:val="top"/>
            <w:shd w:fill="EAF2F8"/>
          </w:tcPr>
          <w:p>
            <w:r>
              <w:rPr>
                <w:b/>
                <w:sz w:val="16"/>
              </w:rPr>
              <w:t>Baseline</w:t>
            </w:r>
          </w:p>
        </w:tc>
        <w:tc>
          <w:tcPr>
            <w:tcW w:type="dxa" w:w="2131"/>
            <w:vAlign w:val="top"/>
            <w:shd w:fill="EAF2F8"/>
          </w:tcPr>
          <w:p>
            <w:r>
              <w:rPr>
                <w:b/>
                <w:sz w:val="16"/>
              </w:rPr>
              <w:t>Target</w:t>
            </w:r>
          </w:p>
        </w:tc>
        <w:tc>
          <w:tcPr>
            <w:tcW w:type="dxa" w:w="2131"/>
            <w:vAlign w:val="top"/>
            <w:shd w:fill="EAF2F8"/>
          </w:tcPr>
          <w:p>
            <w:r>
              <w:rPr>
                <w:b/>
                <w:sz w:val="16"/>
              </w:rPr>
              <w:t>Frequency</w:t>
            </w:r>
          </w:p>
        </w:tc>
        <w:tc>
          <w:tcPr>
            <w:tcW w:type="dxa" w:w="2131"/>
            <w:vAlign w:val="top"/>
            <w:shd w:fill="EAF2F8"/>
          </w:tcPr>
          <w:p>
            <w:r>
              <w:rPr>
                <w:b/>
                <w:sz w:val="16"/>
              </w:rPr>
              <w:t>Owner</w:t>
            </w:r>
          </w:p>
        </w:tc>
      </w:tr>
      <w:tr>
        <w:tc>
          <w:tcPr>
            <w:tcW w:type="dxa" w:w="2131"/>
            <w:vAlign w:val="top"/>
          </w:tcPr>
          <w:p>
            <w:r>
              <w:rPr>
                <w:sz w:val="16"/>
              </w:rPr>
              <w:t>First-time fix rate</w:t>
            </w:r>
          </w:p>
        </w:tc>
        <w:tc>
          <w:tcPr>
            <w:tcW w:type="dxa" w:w="2131"/>
            <w:vAlign w:val="top"/>
          </w:tcPr>
          <w:p>
            <w:r>
              <w:rPr>
                <w:sz w:val="16"/>
              </w:rPr>
              <w:t>71%</w:t>
            </w:r>
          </w:p>
        </w:tc>
        <w:tc>
          <w:tcPr>
            <w:tcW w:type="dxa" w:w="2131"/>
            <w:vAlign w:val="top"/>
          </w:tcPr>
          <w:p>
            <w:r>
              <w:rPr>
                <w:sz w:val="16"/>
              </w:rPr>
              <w:t>78% during pilot; 82% scaled</w:t>
            </w:r>
          </w:p>
        </w:tc>
        <w:tc>
          <w:tcPr>
            <w:tcW w:type="dxa" w:w="2131"/>
            <w:vAlign w:val="top"/>
          </w:tcPr>
          <w:p>
            <w:r>
              <w:rPr>
                <w:sz w:val="16"/>
              </w:rPr>
              <w:t>Weekly</w:t>
            </w:r>
          </w:p>
        </w:tc>
        <w:tc>
          <w:tcPr>
            <w:tcW w:type="dxa" w:w="2131"/>
            <w:vAlign w:val="top"/>
          </w:tcPr>
          <w:p>
            <w:r>
              <w:rPr>
                <w:sz w:val="16"/>
              </w:rPr>
              <w:t>Regional service directors</w:t>
            </w:r>
          </w:p>
        </w:tc>
      </w:tr>
      <w:tr>
        <w:tc>
          <w:tcPr>
            <w:tcW w:type="dxa" w:w="2131"/>
            <w:vAlign w:val="top"/>
          </w:tcPr>
          <w:p>
            <w:r>
              <w:rPr>
                <w:sz w:val="16"/>
              </w:rPr>
              <w:t>Parts-not-ready visits</w:t>
            </w:r>
          </w:p>
        </w:tc>
        <w:tc>
          <w:tcPr>
            <w:tcW w:type="dxa" w:w="2131"/>
            <w:vAlign w:val="top"/>
          </w:tcPr>
          <w:p>
            <w:r>
              <w:rPr>
                <w:sz w:val="16"/>
              </w:rPr>
              <w:t>14%</w:t>
            </w:r>
          </w:p>
        </w:tc>
        <w:tc>
          <w:tcPr>
            <w:tcW w:type="dxa" w:w="2131"/>
            <w:vAlign w:val="top"/>
          </w:tcPr>
          <w:p>
            <w:r>
              <w:rPr>
                <w:sz w:val="16"/>
              </w:rPr>
              <w:t>8% during pilot; 6% scaled</w:t>
            </w:r>
          </w:p>
        </w:tc>
        <w:tc>
          <w:tcPr>
            <w:tcW w:type="dxa" w:w="2131"/>
            <w:vAlign w:val="top"/>
          </w:tcPr>
          <w:p>
            <w:r>
              <w:rPr>
                <w:sz w:val="16"/>
              </w:rPr>
              <w:t>Weekly</w:t>
            </w:r>
          </w:p>
        </w:tc>
        <w:tc>
          <w:tcPr>
            <w:tcW w:type="dxa" w:w="2131"/>
            <w:vAlign w:val="top"/>
          </w:tcPr>
          <w:p>
            <w:r>
              <w:rPr>
                <w:sz w:val="16"/>
              </w:rPr>
              <w:t>Inventory planning</w:t>
            </w:r>
          </w:p>
        </w:tc>
      </w:tr>
      <w:tr>
        <w:tc>
          <w:tcPr>
            <w:tcW w:type="dxa" w:w="2131"/>
            <w:vAlign w:val="top"/>
          </w:tcPr>
          <w:p>
            <w:r>
              <w:rPr>
                <w:sz w:val="16"/>
              </w:rPr>
              <w:t>Repeat truck rolls</w:t>
            </w:r>
          </w:p>
        </w:tc>
        <w:tc>
          <w:tcPr>
            <w:tcW w:type="dxa" w:w="2131"/>
            <w:vAlign w:val="top"/>
          </w:tcPr>
          <w:p>
            <w:r>
              <w:rPr>
                <w:sz w:val="16"/>
              </w:rPr>
              <w:t>420 per month</w:t>
            </w:r>
          </w:p>
        </w:tc>
        <w:tc>
          <w:tcPr>
            <w:tcW w:type="dxa" w:w="2131"/>
            <w:vAlign w:val="top"/>
          </w:tcPr>
          <w:p>
            <w:r>
              <w:rPr>
                <w:sz w:val="16"/>
              </w:rPr>
              <w:t>300 per month in pilot regions</w:t>
            </w:r>
          </w:p>
        </w:tc>
        <w:tc>
          <w:tcPr>
            <w:tcW w:type="dxa" w:w="2131"/>
            <w:vAlign w:val="top"/>
          </w:tcPr>
          <w:p>
            <w:r>
              <w:rPr>
                <w:sz w:val="16"/>
              </w:rPr>
              <w:t>Monthly</w:t>
            </w:r>
          </w:p>
        </w:tc>
        <w:tc>
          <w:tcPr>
            <w:tcW w:type="dxa" w:w="2131"/>
            <w:vAlign w:val="top"/>
          </w:tcPr>
          <w:p>
            <w:r>
              <w:rPr>
                <w:sz w:val="16"/>
              </w:rPr>
              <w:t>Operations analytics</w:t>
            </w:r>
          </w:p>
        </w:tc>
      </w:tr>
      <w:tr>
        <w:tc>
          <w:tcPr>
            <w:tcW w:type="dxa" w:w="2131"/>
            <w:vAlign w:val="top"/>
          </w:tcPr>
          <w:p>
            <w:r>
              <w:rPr>
                <w:sz w:val="16"/>
              </w:rPr>
              <w:t>Overtime and expedited parts cost</w:t>
            </w:r>
          </w:p>
        </w:tc>
        <w:tc>
          <w:tcPr>
            <w:tcW w:type="dxa" w:w="2131"/>
            <w:vAlign w:val="top"/>
          </w:tcPr>
          <w:p>
            <w:r>
              <w:rPr>
                <w:sz w:val="16"/>
              </w:rPr>
              <w:t>$620K annual estimate</w:t>
            </w:r>
          </w:p>
        </w:tc>
        <w:tc>
          <w:tcPr>
            <w:tcW w:type="dxa" w:w="2131"/>
            <w:vAlign w:val="top"/>
          </w:tcPr>
          <w:p>
            <w:r>
              <w:rPr>
                <w:sz w:val="16"/>
              </w:rPr>
              <w:t>20% reduction in pilot run-rate</w:t>
            </w:r>
          </w:p>
        </w:tc>
        <w:tc>
          <w:tcPr>
            <w:tcW w:type="dxa" w:w="2131"/>
            <w:vAlign w:val="top"/>
          </w:tcPr>
          <w:p>
            <w:r>
              <w:rPr>
                <w:sz w:val="16"/>
              </w:rPr>
              <w:t>Monthly</w:t>
            </w:r>
          </w:p>
        </w:tc>
        <w:tc>
          <w:tcPr>
            <w:tcW w:type="dxa" w:w="2131"/>
            <w:vAlign w:val="top"/>
          </w:tcPr>
          <w:p>
            <w:r>
              <w:rPr>
                <w:sz w:val="16"/>
              </w:rPr>
              <w:t>Finance partner</w:t>
            </w:r>
          </w:p>
        </w:tc>
      </w:tr>
    </w:tbl>
    <w:p>
      <w:pPr>
        <w:pStyle w:val="Heading2"/>
      </w:pPr>
      <w:r>
        <w:t>Review Gates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EAF2F8"/>
          </w:tcPr>
          <w:p>
            <w:r>
              <w:rPr>
                <w:b/>
                <w:sz w:val="16"/>
              </w:rPr>
              <w:t>Gate</w:t>
            </w:r>
          </w:p>
        </w:tc>
        <w:tc>
          <w:tcPr>
            <w:tcW w:type="dxa" w:w="2664"/>
            <w:vAlign w:val="top"/>
            <w:shd w:fill="EAF2F8"/>
          </w:tcPr>
          <w:p>
            <w:r>
              <w:rPr>
                <w:b/>
                <w:sz w:val="16"/>
              </w:rPr>
              <w:t>Timing</w:t>
            </w:r>
          </w:p>
        </w:tc>
        <w:tc>
          <w:tcPr>
            <w:tcW w:type="dxa" w:w="2664"/>
            <w:vAlign w:val="top"/>
            <w:shd w:fill="EAF2F8"/>
          </w:tcPr>
          <w:p>
            <w:r>
              <w:rPr>
                <w:b/>
                <w:sz w:val="16"/>
              </w:rPr>
              <w:t>Decision Criteria</w:t>
            </w:r>
          </w:p>
        </w:tc>
        <w:tc>
          <w:tcPr>
            <w:tcW w:type="dxa" w:w="2664"/>
            <w:vAlign w:val="top"/>
            <w:shd w:fill="EAF2F8"/>
          </w:tcPr>
          <w:p>
            <w:r>
              <w:rPr>
                <w:b/>
                <w:sz w:val="16"/>
              </w:rPr>
              <w:t>Authority</w:t>
            </w:r>
          </w:p>
        </w:tc>
      </w:tr>
      <w:tr>
        <w:tc>
          <w:tcPr>
            <w:tcW w:type="dxa" w:w="2664"/>
            <w:vAlign w:val="top"/>
          </w:tcPr>
          <w:p>
            <w:r>
              <w:rPr>
                <w:sz w:val="16"/>
              </w:rPr>
              <w:t>Phase 0 exit</w:t>
            </w:r>
          </w:p>
        </w:tc>
        <w:tc>
          <w:tcPr>
            <w:tcW w:type="dxa" w:w="2664"/>
            <w:vAlign w:val="top"/>
          </w:tcPr>
          <w:p>
            <w:r>
              <w:rPr>
                <w:sz w:val="16"/>
              </w:rPr>
              <w:t>End of Week 3</w:t>
            </w:r>
          </w:p>
        </w:tc>
        <w:tc>
          <w:tcPr>
            <w:tcW w:type="dxa" w:w="2664"/>
            <w:vAlign w:val="top"/>
          </w:tcPr>
          <w:p>
            <w:r>
              <w:rPr>
                <w:sz w:val="16"/>
              </w:rPr>
              <w:t>Baseline confirmed; data access feasible; pilot regions selected</w:t>
            </w:r>
          </w:p>
        </w:tc>
        <w:tc>
          <w:tcPr>
            <w:tcW w:type="dxa" w:w="2664"/>
            <w:vAlign w:val="top"/>
          </w:tcPr>
          <w:p>
            <w:r>
              <w:rPr>
                <w:sz w:val="16"/>
              </w:rPr>
              <w:t>VP Operations</w:t>
            </w:r>
          </w:p>
        </w:tc>
      </w:tr>
      <w:tr>
        <w:tc>
          <w:tcPr>
            <w:tcW w:type="dxa" w:w="2664"/>
            <w:vAlign w:val="top"/>
          </w:tcPr>
          <w:p>
            <w:r>
              <w:rPr>
                <w:sz w:val="16"/>
              </w:rPr>
              <w:t>Pilot midpoint</w:t>
            </w:r>
          </w:p>
        </w:tc>
        <w:tc>
          <w:tcPr>
            <w:tcW w:type="dxa" w:w="2664"/>
            <w:vAlign w:val="top"/>
          </w:tcPr>
          <w:p>
            <w:r>
              <w:rPr>
                <w:sz w:val="16"/>
              </w:rPr>
              <w:t>Week 14</w:t>
            </w:r>
          </w:p>
        </w:tc>
        <w:tc>
          <w:tcPr>
            <w:tcW w:type="dxa" w:w="2664"/>
            <w:vAlign w:val="top"/>
          </w:tcPr>
          <w:p>
            <w:r>
              <w:rPr>
                <w:sz w:val="16"/>
              </w:rPr>
              <w:t>Adoption above 80%; data quality defects below threshold; early trend positive</w:t>
            </w:r>
          </w:p>
        </w:tc>
        <w:tc>
          <w:tcPr>
            <w:tcW w:type="dxa" w:w="2664"/>
            <w:vAlign w:val="top"/>
          </w:tcPr>
          <w:p>
            <w:r>
              <w:rPr>
                <w:sz w:val="16"/>
              </w:rPr>
              <w:t>Steering review</w:t>
            </w:r>
          </w:p>
        </w:tc>
      </w:tr>
      <w:tr>
        <w:tc>
          <w:tcPr>
            <w:tcW w:type="dxa" w:w="2664"/>
            <w:vAlign w:val="top"/>
          </w:tcPr>
          <w:p>
            <w:r>
              <w:rPr>
                <w:sz w:val="16"/>
              </w:rPr>
              <w:t>Scale decision</w:t>
            </w:r>
          </w:p>
        </w:tc>
        <w:tc>
          <w:tcPr>
            <w:tcW w:type="dxa" w:w="2664"/>
            <w:vAlign w:val="top"/>
          </w:tcPr>
          <w:p>
            <w:r>
              <w:rPr>
                <w:sz w:val="16"/>
              </w:rPr>
              <w:t>Week 21</w:t>
            </w:r>
          </w:p>
        </w:tc>
        <w:tc>
          <w:tcPr>
            <w:tcW w:type="dxa" w:w="2664"/>
            <w:vAlign w:val="top"/>
          </w:tcPr>
          <w:p>
            <w:r>
              <w:rPr>
                <w:sz w:val="16"/>
              </w:rPr>
              <w:t>Validated financial trend, adoption, and operational feasibility</w:t>
            </w:r>
          </w:p>
        </w:tc>
        <w:tc>
          <w:tcPr>
            <w:tcW w:type="dxa" w:w="2664"/>
            <w:vAlign w:val="top"/>
          </w:tcPr>
          <w:p>
            <w:r>
              <w:rPr>
                <w:sz w:val="16"/>
              </w:rPr>
              <w:t>VP Operations and CFO</w:t>
            </w:r>
          </w:p>
        </w:tc>
      </w:tr>
    </w:tbl>
    <w:p>
      <w:pPr>
        <w:pStyle w:val="Heading1"/>
      </w:pPr>
      <w:r>
        <w:t>10. Recommendation &amp; Call to Action</w:t>
      </w:r>
    </w:p>
    <w:p>
      <w:r>
        <w:t>We request approval from VP of Operations, with CFO funding approval to Approve a $690,000 Year 1 investment to implement dispatch optimization, parts readiness controls, and governance reporting across two pilot regions. by Decision requested by 2026-06-30 to begin pilot mobilization in July..</w:t>
      </w:r>
    </w:p>
    <w:p>
      <w:pPr>
        <w:pStyle w:val="Heading2"/>
      </w:pPr>
      <w:r>
        <w:t>Consequence of Delay</w:t>
      </w:r>
    </w:p>
    <w:p>
      <w:r>
        <w:t>A delay past June 30 defers pilot benefits by at least one quarter and preserves an estimated $190,000 per month in avoidable repeat visits, overtime, and expedited parts costs.</w:t>
      </w:r>
    </w:p>
    <w:p>
      <w:pPr>
        <w:pStyle w:val="Heading2"/>
      </w:pPr>
      <w:r>
        <w:t>Next Steps</w:t>
      </w:r>
    </w:p>
    <w:p>
      <w:pPr>
        <w:pStyle w:val="ListBullet"/>
      </w:pPr>
      <w:r>
        <w:t>Approve Phase 1 funding</w:t>
      </w:r>
    </w:p>
    <w:p>
      <w:pPr>
        <w:pStyle w:val="ListBullet"/>
      </w:pPr>
      <w:r>
        <w:t>Assign Operations PM</w:t>
      </w:r>
    </w:p>
    <w:p>
      <w:pPr>
        <w:pStyle w:val="ListBullet"/>
      </w:pPr>
      <w:r>
        <w:t>Confirm pilot regions</w:t>
      </w:r>
    </w:p>
    <w:p>
      <w:pPr>
        <w:pStyle w:val="ListBullet"/>
      </w:pPr>
      <w:r>
        <w:t>Start data profiling</w:t>
      </w:r>
    </w:p>
    <w:p>
      <w:pPr>
        <w:pStyle w:val="ListBullet"/>
      </w:pPr>
      <w:r>
        <w:t>Schedule supervisor readiness workshops</w:t>
      </w:r>
    </w:p>
    <w:p>
      <w:pPr>
        <w:pStyle w:val="Heading2"/>
      </w:pPr>
      <w:r>
        <w:t>Open Questions</w:t>
      </w:r>
    </w:p>
    <w:p>
      <w:pPr>
        <w:pStyle w:val="ListBullet"/>
      </w:pPr>
      <w:r>
        <w:t>Confirm exact loaded technician labor rate</w:t>
      </w:r>
    </w:p>
    <w:p>
      <w:pPr>
        <w:pStyle w:val="ListBullet"/>
      </w:pPr>
      <w:r>
        <w:t>Validate repeat-visit cause coding quality</w:t>
      </w:r>
    </w:p>
    <w:p>
      <w:pPr>
        <w:pStyle w:val="ListBullet"/>
      </w:pPr>
      <w:r>
        <w:t>Confirm whether current tools can support exception workflow without custom development</w:t>
      </w:r>
    </w:p>
    <w:p>
      <w:pPr>
        <w:pStyle w:val="Heading1"/>
      </w:pPr>
      <w:r>
        <w:t>Critical Professional Counsel</w:t>
      </w:r>
    </w:p>
    <w:p>
      <w:r>
        <w:t>Score: 35/35. Readiness: Executive-ready. Suitable for leadership review with normal validation.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EAF2F8"/>
          </w:tcPr>
          <w:p>
            <w:r>
              <w:rPr>
                <w:b/>
                <w:sz w:val="16"/>
              </w:rPr>
              <w:t>Dimension</w:t>
            </w:r>
          </w:p>
        </w:tc>
        <w:tc>
          <w:tcPr>
            <w:tcW w:type="dxa" w:w="2131"/>
            <w:vAlign w:val="top"/>
            <w:shd w:fill="EAF2F8"/>
          </w:tcPr>
          <w:p>
            <w:r>
              <w:rPr>
                <w:b/>
                <w:sz w:val="16"/>
              </w:rPr>
              <w:t>Score</w:t>
            </w:r>
          </w:p>
        </w:tc>
        <w:tc>
          <w:tcPr>
            <w:tcW w:type="dxa" w:w="2131"/>
            <w:vAlign w:val="top"/>
            <w:shd w:fill="EAF2F8"/>
          </w:tcPr>
          <w:p>
            <w:r>
              <w:rPr>
                <w:b/>
                <w:sz w:val="16"/>
              </w:rPr>
              <w:t>Finding</w:t>
            </w:r>
          </w:p>
        </w:tc>
        <w:tc>
          <w:tcPr>
            <w:tcW w:type="dxa" w:w="2131"/>
            <w:vAlign w:val="top"/>
            <w:shd w:fill="EAF2F8"/>
          </w:tcPr>
          <w:p>
            <w:r>
              <w:rPr>
                <w:b/>
                <w:sz w:val="16"/>
              </w:rPr>
              <w:t>Counsel</w:t>
            </w:r>
          </w:p>
        </w:tc>
        <w:tc>
          <w:tcPr>
            <w:tcW w:type="dxa" w:w="2131"/>
            <w:vAlign w:val="top"/>
            <w:shd w:fill="EAF2F8"/>
          </w:tcPr>
          <w:p>
            <w:r>
              <w:rPr>
                <w:b/>
                <w:sz w:val="16"/>
              </w:rPr>
              <w:t>Evidence Needed</w:t>
            </w:r>
          </w:p>
        </w:tc>
      </w:tr>
      <w:tr>
        <w:tc>
          <w:tcPr>
            <w:tcW w:type="dxa" w:w="2131"/>
            <w:vAlign w:val="top"/>
          </w:tcPr>
          <w:p>
            <w:r>
              <w:rPr>
                <w:sz w:val="16"/>
              </w:rPr>
              <w:t>Problem clarity</w:t>
            </w:r>
          </w:p>
        </w:tc>
        <w:tc>
          <w:tcPr>
            <w:tcW w:type="dxa" w:w="2131"/>
            <w:vAlign w:val="top"/>
          </w:tcPr>
          <w:p>
            <w:r>
              <w:rPr>
                <w:sz w:val="16"/>
              </w:rPr>
              <w:t>5/5</w:t>
            </w:r>
          </w:p>
        </w:tc>
        <w:tc>
          <w:tcPr>
            <w:tcW w:type="dxa" w:w="2131"/>
            <w:vAlign w:val="top"/>
          </w:tcPr>
          <w:p>
            <w:r>
              <w:rPr>
                <w:sz w:val="16"/>
              </w:rPr>
              <w:t>Tests whether the problem is stated in business terms, separated from root cause, scoped, and quantified.</w:t>
            </w:r>
          </w:p>
        </w:tc>
        <w:tc>
          <w:tcPr>
            <w:tcW w:type="dxa" w:w="2131"/>
            <w:vAlign w:val="top"/>
          </w:tcPr>
          <w:p>
            <w:r>
              <w:rPr>
                <w:sz w:val="16"/>
              </w:rPr>
              <w:t>Tighten the business problem, name observable symptoms, separate symptom from root cause, and quantify the cost of inaction.</w:t>
            </w:r>
          </w:p>
        </w:tc>
        <w:tc>
          <w:tcPr>
            <w:tcW w:type="dxa" w:w="2131"/>
            <w:vAlign w:val="top"/>
          </w:tcPr>
          <w:p>
            <w:r>
              <w:rPr>
                <w:sz w:val="16"/>
              </w:rPr>
              <w:t>Observable symptoms, root-cause evidence, scope boundaries, urgency driver, and status quo impact.</w:t>
            </w:r>
          </w:p>
        </w:tc>
      </w:tr>
      <w:tr>
        <w:tc>
          <w:tcPr>
            <w:tcW w:type="dxa" w:w="2131"/>
            <w:vAlign w:val="top"/>
          </w:tcPr>
          <w:p>
            <w:r>
              <w:rPr>
                <w:sz w:val="16"/>
              </w:rPr>
              <w:t>Evidence grounding</w:t>
            </w:r>
          </w:p>
        </w:tc>
        <w:tc>
          <w:tcPr>
            <w:tcW w:type="dxa" w:w="2131"/>
            <w:vAlign w:val="top"/>
          </w:tcPr>
          <w:p>
            <w:r>
              <w:rPr>
                <w:sz w:val="16"/>
              </w:rPr>
              <w:t>5/5</w:t>
            </w:r>
          </w:p>
        </w:tc>
        <w:tc>
          <w:tcPr>
            <w:tcW w:type="dxa" w:w="2131"/>
            <w:vAlign w:val="top"/>
          </w:tcPr>
          <w:p>
            <w:r>
              <w:rPr>
                <w:sz w:val="16"/>
              </w:rPr>
              <w:t>Tests whether claims are supported by data, source artifacts, or clearly stated assumptions.</w:t>
            </w:r>
          </w:p>
        </w:tc>
        <w:tc>
          <w:tcPr>
            <w:tcW w:type="dxa" w:w="2131"/>
            <w:vAlign w:val="top"/>
          </w:tcPr>
          <w:p>
            <w:r>
              <w:rPr>
                <w:sz w:val="16"/>
              </w:rPr>
              <w:t>Label assumptions, name evidence limitations, and connect each major number to a basis or source.</w:t>
            </w:r>
          </w:p>
        </w:tc>
        <w:tc>
          <w:tcPr>
            <w:tcW w:type="dxa" w:w="2131"/>
            <w:vAlign w:val="top"/>
          </w:tcPr>
          <w:p>
            <w:r>
              <w:rPr>
                <w:sz w:val="16"/>
              </w:rPr>
              <w:t>Baseline metrics, source inventory, assumption log, data limitations, and validation plan.</w:t>
            </w:r>
          </w:p>
        </w:tc>
      </w:tr>
      <w:tr>
        <w:tc>
          <w:tcPr>
            <w:tcW w:type="dxa" w:w="2131"/>
            <w:vAlign w:val="top"/>
          </w:tcPr>
          <w:p>
            <w:r>
              <w:rPr>
                <w:sz w:val="16"/>
              </w:rPr>
              <w:t>Options integrity</w:t>
            </w:r>
          </w:p>
        </w:tc>
        <w:tc>
          <w:tcPr>
            <w:tcW w:type="dxa" w:w="2131"/>
            <w:vAlign w:val="top"/>
          </w:tcPr>
          <w:p>
            <w:r>
              <w:rPr>
                <w:sz w:val="16"/>
              </w:rPr>
              <w:t>5/5</w:t>
            </w:r>
          </w:p>
        </w:tc>
        <w:tc>
          <w:tcPr>
            <w:tcW w:type="dxa" w:w="2131"/>
            <w:vAlign w:val="top"/>
          </w:tcPr>
          <w:p>
            <w:r>
              <w:rPr>
                <w:sz w:val="16"/>
              </w:rPr>
              <w:t>Tests whether the recommendation follows from real alternatives rather than a predetermined solution.</w:t>
            </w:r>
          </w:p>
        </w:tc>
        <w:tc>
          <w:tcPr>
            <w:tcW w:type="dxa" w:w="2131"/>
            <w:vAlign w:val="top"/>
          </w:tcPr>
          <w:p>
            <w:r>
              <w:rPr>
                <w:sz w:val="16"/>
              </w:rPr>
              <w:t>Evaluate Do Nothing and credible alternatives against consistent criteria. Do not strawman options.</w:t>
            </w:r>
          </w:p>
        </w:tc>
        <w:tc>
          <w:tcPr>
            <w:tcW w:type="dxa" w:w="2131"/>
            <w:vAlign w:val="top"/>
          </w:tcPr>
          <w:p>
            <w:r>
              <w:rPr>
                <w:sz w:val="16"/>
              </w:rPr>
              <w:t>Option costs, timelines, benefits, tradeoffs, scores, and scoring rationale.</w:t>
            </w:r>
          </w:p>
        </w:tc>
      </w:tr>
      <w:tr>
        <w:tc>
          <w:tcPr>
            <w:tcW w:type="dxa" w:w="2131"/>
            <w:vAlign w:val="top"/>
          </w:tcPr>
          <w:p>
            <w:r>
              <w:rPr>
                <w:sz w:val="16"/>
              </w:rPr>
              <w:t>Financial rigor</w:t>
            </w:r>
          </w:p>
        </w:tc>
        <w:tc>
          <w:tcPr>
            <w:tcW w:type="dxa" w:w="2131"/>
            <w:vAlign w:val="top"/>
          </w:tcPr>
          <w:p>
            <w:r>
              <w:rPr>
                <w:sz w:val="16"/>
              </w:rPr>
              <w:t>5/5</w:t>
            </w:r>
          </w:p>
        </w:tc>
        <w:tc>
          <w:tcPr>
            <w:tcW w:type="dxa" w:w="2131"/>
            <w:vAlign w:val="top"/>
          </w:tcPr>
          <w:p>
            <w:r>
              <w:rPr>
                <w:sz w:val="16"/>
              </w:rPr>
              <w:t>Tests cost completeness, hard/soft benefit separation, return analysis, assumptions, and sensitivity.</w:t>
            </w:r>
          </w:p>
        </w:tc>
        <w:tc>
          <w:tcPr>
            <w:tcW w:type="dxa" w:w="2131"/>
            <w:vAlign w:val="top"/>
          </w:tcPr>
          <w:p>
            <w:r>
              <w:rPr>
                <w:sz w:val="16"/>
              </w:rPr>
              <w:t>Separate hard benefits from soft benefits, show Year 1 cost, annual hard benefit, payback/ROI, and downside scenarios.</w:t>
            </w:r>
          </w:p>
        </w:tc>
        <w:tc>
          <w:tcPr>
            <w:tcW w:type="dxa" w:w="2131"/>
            <w:vAlign w:val="top"/>
          </w:tcPr>
          <w:p>
            <w:r>
              <w:rPr>
                <w:sz w:val="16"/>
              </w:rPr>
              <w:t>Cost categories, benefit basis, ROI/payback method, assumptions, sensitivity scenarios.</w:t>
            </w:r>
          </w:p>
        </w:tc>
      </w:tr>
      <w:tr>
        <w:tc>
          <w:tcPr>
            <w:tcW w:type="dxa" w:w="2131"/>
            <w:vAlign w:val="top"/>
          </w:tcPr>
          <w:p>
            <w:r>
              <w:rPr>
                <w:sz w:val="16"/>
              </w:rPr>
              <w:t>Risk honesty</w:t>
            </w:r>
          </w:p>
        </w:tc>
        <w:tc>
          <w:tcPr>
            <w:tcW w:type="dxa" w:w="2131"/>
            <w:vAlign w:val="top"/>
          </w:tcPr>
          <w:p>
            <w:r>
              <w:rPr>
                <w:sz w:val="16"/>
              </w:rPr>
              <w:t>5/5</w:t>
            </w:r>
          </w:p>
        </w:tc>
        <w:tc>
          <w:tcPr>
            <w:tcW w:type="dxa" w:w="2131"/>
            <w:vAlign w:val="top"/>
          </w:tcPr>
          <w:p>
            <w:r>
              <w:rPr>
                <w:sz w:val="16"/>
              </w:rPr>
              <w:t>Tests whether material risks are named, assessed, mitigated, and owned.</w:t>
            </w:r>
          </w:p>
        </w:tc>
        <w:tc>
          <w:tcPr>
            <w:tcW w:type="dxa" w:w="2131"/>
            <w:vAlign w:val="top"/>
          </w:tcPr>
          <w:p>
            <w:r>
              <w:rPr>
                <w:sz w:val="16"/>
              </w:rPr>
              <w:t>Use named failure modes, likelihood, impact, severity, mitigation, residual risk, and owner.</w:t>
            </w:r>
          </w:p>
        </w:tc>
        <w:tc>
          <w:tcPr>
            <w:tcW w:type="dxa" w:w="2131"/>
            <w:vAlign w:val="top"/>
          </w:tcPr>
          <w:p>
            <w:r>
              <w:rPr>
                <w:sz w:val="16"/>
              </w:rPr>
              <w:t>Risk register, mitigation plan, owner list, dependency map, compliance/security review if applicable.</w:t>
            </w:r>
          </w:p>
        </w:tc>
      </w:tr>
      <w:tr>
        <w:tc>
          <w:tcPr>
            <w:tcW w:type="dxa" w:w="2131"/>
            <w:vAlign w:val="top"/>
          </w:tcPr>
          <w:p>
            <w:r>
              <w:rPr>
                <w:sz w:val="16"/>
              </w:rPr>
              <w:t>Executive readability</w:t>
            </w:r>
          </w:p>
        </w:tc>
        <w:tc>
          <w:tcPr>
            <w:tcW w:type="dxa" w:w="2131"/>
            <w:vAlign w:val="top"/>
          </w:tcPr>
          <w:p>
            <w:r>
              <w:rPr>
                <w:sz w:val="16"/>
              </w:rPr>
              <w:t>5/5</w:t>
            </w:r>
          </w:p>
        </w:tc>
        <w:tc>
          <w:tcPr>
            <w:tcW w:type="dxa" w:w="2131"/>
            <w:vAlign w:val="top"/>
          </w:tcPr>
          <w:p>
            <w:r>
              <w:rPr>
                <w:sz w:val="16"/>
              </w:rPr>
              <w:t>Tests whether a time-pressed executive can understand the problem, recommendation, cost, return, risk, and ask quickly.</w:t>
            </w:r>
          </w:p>
        </w:tc>
        <w:tc>
          <w:tcPr>
            <w:tcW w:type="dxa" w:w="2131"/>
            <w:vAlign w:val="top"/>
          </w:tcPr>
          <w:p>
            <w:r>
              <w:rPr>
                <w:sz w:val="16"/>
              </w:rPr>
              <w:t>Put the decision request near the front, keep the executive summary self-contained, and use tables for financials, risks, and options.</w:t>
            </w:r>
          </w:p>
        </w:tc>
        <w:tc>
          <w:tcPr>
            <w:tcW w:type="dxa" w:w="2131"/>
            <w:vAlign w:val="top"/>
          </w:tcPr>
          <w:p>
            <w:r>
              <w:rPr>
                <w:sz w:val="16"/>
              </w:rPr>
              <w:t>Standalone executive summary, decision table, concise recommendation, readable financial and risk tables.</w:t>
            </w:r>
          </w:p>
        </w:tc>
      </w:tr>
      <w:tr>
        <w:tc>
          <w:tcPr>
            <w:tcW w:type="dxa" w:w="2131"/>
            <w:vAlign w:val="top"/>
          </w:tcPr>
          <w:p>
            <w:r>
              <w:rPr>
                <w:sz w:val="16"/>
              </w:rPr>
              <w:t>Decision clarity</w:t>
            </w:r>
          </w:p>
        </w:tc>
        <w:tc>
          <w:tcPr>
            <w:tcW w:type="dxa" w:w="2131"/>
            <w:vAlign w:val="top"/>
          </w:tcPr>
          <w:p>
            <w:r>
              <w:rPr>
                <w:sz w:val="16"/>
              </w:rPr>
              <w:t>5/5</w:t>
            </w:r>
          </w:p>
        </w:tc>
        <w:tc>
          <w:tcPr>
            <w:tcW w:type="dxa" w:w="2131"/>
            <w:vAlign w:val="top"/>
          </w:tcPr>
          <w:p>
            <w:r>
              <w:rPr>
                <w:sz w:val="16"/>
              </w:rPr>
              <w:t>Tests whether the document asks for a specific decision from a specific decision-maker by a specific date.</w:t>
            </w:r>
          </w:p>
        </w:tc>
        <w:tc>
          <w:tcPr>
            <w:tcW w:type="dxa" w:w="2131"/>
            <w:vAlign w:val="top"/>
          </w:tcPr>
          <w:p>
            <w:r>
              <w:rPr>
                <w:sz w:val="16"/>
              </w:rPr>
              <w:t>State the named decision, owner, deadline, consequence of delay, and first actions if approved.</w:t>
            </w:r>
          </w:p>
        </w:tc>
        <w:tc>
          <w:tcPr>
            <w:tcW w:type="dxa" w:w="2131"/>
            <w:vAlign w:val="top"/>
          </w:tcPr>
          <w:p>
            <w:r>
              <w:rPr>
                <w:sz w:val="16"/>
              </w:rPr>
              <w:t>Decision owner, approval action, date, consequence of delay, next-step owner list.</w:t>
            </w:r>
          </w:p>
        </w:tc>
      </w:tr>
    </w:tbl>
    <w:p>
      <w:pPr>
        <w:pStyle w:val="Heading1"/>
      </w:pPr>
      <w:r>
        <w:t>Appendix: Evidence Summary</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EAF2F8"/>
          </w:tcPr>
          <w:p>
            <w:r>
              <w:rPr>
                <w:b/>
                <w:sz w:val="16"/>
              </w:rPr>
              <w:t>Artifact</w:t>
            </w:r>
          </w:p>
        </w:tc>
        <w:tc>
          <w:tcPr>
            <w:tcW w:type="dxa" w:w="3552"/>
            <w:vAlign w:val="top"/>
            <w:shd w:fill="EAF2F8"/>
          </w:tcPr>
          <w:p>
            <w:r>
              <w:rPr>
                <w:b/>
                <w:sz w:val="16"/>
              </w:rPr>
              <w:t>Type</w:t>
            </w:r>
          </w:p>
        </w:tc>
        <w:tc>
          <w:tcPr>
            <w:tcW w:type="dxa" w:w="3552"/>
            <w:vAlign w:val="top"/>
            <w:shd w:fill="EAF2F8"/>
          </w:tcPr>
          <w:p>
            <w:r>
              <w:rPr>
                <w:b/>
                <w:sz w:val="16"/>
              </w:rPr>
              <w:t>Summary</w:t>
            </w:r>
          </w:p>
        </w:tc>
      </w:tr>
      <w:tr>
        <w:tc>
          <w:tcPr>
            <w:tcW w:type="dxa" w:w="3552"/>
            <w:vAlign w:val="top"/>
          </w:tcPr>
          <w:p>
            <w:r>
              <w:rPr>
                <w:sz w:val="16"/>
              </w:rPr>
              <w:t>benefits_costs_draft.csv</w:t>
            </w:r>
          </w:p>
        </w:tc>
        <w:tc>
          <w:tcPr>
            <w:tcW w:type="dxa" w:w="3552"/>
            <w:vAlign w:val="top"/>
          </w:tcPr>
          <w:p>
            <w:r>
              <w:rPr>
                <w:sz w:val="16"/>
              </w:rPr>
              <w:t>csv</w:t>
            </w:r>
          </w:p>
        </w:tc>
        <w:tc>
          <w:tcPr>
            <w:tcW w:type="dxa" w:w="3552"/>
            <w:vAlign w:val="top"/>
          </w:tcPr>
          <w:p>
            <w:r>
              <w:rPr>
                <w:sz w:val="16"/>
              </w:rPr>
              <w:t>item | type | value | basis Reduced repeat visits | Hard | $920000 | Assumes 40 percent reduction in addressable repeat truck rolls Reduced overtime and expedited parts | Hard | $480000 | Assumes fewer late schedule changes Recovered appointment capacity | Hard | $620000 | Assumes recovered capacity supports same-week appointments Training and change management | Cost | $90000 | One-time pilot support</w:t>
            </w:r>
          </w:p>
        </w:tc>
      </w:tr>
      <w:tr>
        <w:tc>
          <w:tcPr>
            <w:tcW w:type="dxa" w:w="3552"/>
            <w:vAlign w:val="top"/>
          </w:tcPr>
          <w:p>
            <w:r>
              <w:rPr>
                <w:sz w:val="16"/>
              </w:rPr>
              <w:t>operations_notes.md</w:t>
            </w:r>
          </w:p>
        </w:tc>
        <w:tc>
          <w:tcPr>
            <w:tcW w:type="dxa" w:w="3552"/>
            <w:vAlign w:val="top"/>
          </w:tcPr>
          <w:p>
            <w:r>
              <w:rPr>
                <w:sz w:val="16"/>
              </w:rPr>
              <w:t>md</w:t>
            </w:r>
          </w:p>
        </w:tc>
        <w:tc>
          <w:tcPr>
            <w:tcW w:type="dxa" w:w="3552"/>
            <w:vAlign w:val="top"/>
          </w:tcPr>
          <w:p>
            <w:r>
              <w:rPr>
                <w:sz w:val="16"/>
              </w:rPr>
              <w:t># Operations Interview Notes - Dispatch supervisors report late-day schedule rebalancing three to four times per week. - Parts-not-ready visits are concentrated in two regions with inconsistent pre-appointment checks. - Supervisors believe more technicians would help, but repeat visits appear to be consuming available capacity. - Regional leaders want a pilot before committing to national rollout.</w:t>
            </w:r>
          </w:p>
        </w:tc>
      </w:tr>
      <w:tr>
        <w:tc>
          <w:tcPr>
            <w:tcW w:type="dxa" w:w="3552"/>
            <w:vAlign w:val="top"/>
          </w:tcPr>
          <w:p>
            <w:r>
              <w:rPr>
                <w:sz w:val="16"/>
              </w:rPr>
              <w:t>risk_log.csv</w:t>
            </w:r>
          </w:p>
        </w:tc>
        <w:tc>
          <w:tcPr>
            <w:tcW w:type="dxa" w:w="3552"/>
            <w:vAlign w:val="top"/>
          </w:tcPr>
          <w:p>
            <w:r>
              <w:rPr>
                <w:sz w:val="16"/>
              </w:rPr>
              <w:t>csv</w:t>
            </w:r>
          </w:p>
        </w:tc>
        <w:tc>
          <w:tcPr>
            <w:tcW w:type="dxa" w:w="3552"/>
            <w:vAlign w:val="top"/>
          </w:tcPr>
          <w:p>
            <w:r>
              <w:rPr>
                <w:sz w:val="16"/>
              </w:rPr>
              <w:t>risk | likelihood | impact | owner | notes Supervisor adoption risk | Medium | High | Regional service directors | Readiness gates may be bypassed under schedule pressure Data quality risk | Medium | High | IT applications lead | Inventory and work-order data may require cleanup before automated flags Pilot representativeness risk | Medium | Medium | VP Operations | Regions may not generalize to national rollout</w:t>
            </w:r>
          </w:p>
        </w:tc>
      </w:tr>
    </w:tbl>
    <w:p>
      <w:r>
        <w:rPr>
          <w:i/>
          <w:sz w:val="16"/>
        </w:rPr>
        <w:t>Sample data, where present, is fictional and for demonstration only.</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