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Interview Notes - Customer Onboarding Control Tower</w:t>
      </w:r>
    </w:p>
    <w:p>
      <w:r>
        <w:t>Fictional sample source artifact for testing the project charter operating system.</w:t>
      </w:r>
    </w:p>
    <w:p>
      <w:pPr>
        <w:pStyle w:val="Heading2"/>
      </w:pPr>
      <w:r>
        <w:t>Sponsor notes</w:t>
      </w:r>
    </w:p>
    <w:p>
      <w:r>
        <w:t>Dana Lee wants a bounded pilot, not a full onboarding transformation. She is willing to sponsor the project if the charter explicitly limits scope and defines escalation thresholds.</w:t>
      </w:r>
    </w:p>
    <w:p>
      <w:pPr>
        <w:pStyle w:val="Heading2"/>
      </w:pPr>
      <w:r>
        <w:t>Business owner notes</w:t>
      </w:r>
    </w:p>
    <w:p>
      <w:r>
        <w:t>Priya Raman wants earlier visibility into blocked onboarding projects and a standard status taxonomy across pilot teams.</w:t>
      </w:r>
    </w:p>
    <w:p>
      <w:pPr>
        <w:pStyle w:val="Heading2"/>
      </w:pPr>
      <w:r>
        <w:t>Technology notes</w:t>
      </w:r>
    </w:p>
    <w:p>
      <w:r>
        <w:t>Jordan Park believes existing CRM and implementation tracker feeds can support a pilot, but data quality and permissions must be profiled during planning.</w:t>
      </w:r>
    </w:p>
    <w:p>
      <w:pPr>
        <w:pStyle w:val="Heading2"/>
      </w:pPr>
      <w:r>
        <w:t>Finance notes</w:t>
      </w:r>
    </w:p>
    <w:p>
      <w:r>
        <w:t>Morgan Ellis confirms the pilot envelope is $425,000. Expansion beyond pilot requires steering committee approval.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