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Business Case: Field Service Dispatch and Parts Readiness Modernization</w:t>
      </w:r>
    </w:p>
    <w:p>
      <w:pPr>
        <w:jc w:val="center"/>
      </w:pPr>
      <w:r>
        <w:t>Decision document for approval, prioritization, funding, or governance review</w:t>
      </w:r>
    </w:p>
    <w:p>
      <w:pPr>
        <w:pStyle w:val="Heading1"/>
      </w:pPr>
      <w:r>
        <w:t>1. Executive Summary</w:t>
      </w:r>
    </w:p>
    <w:p>
      <w:r>
        <w:t>Field service work orders are entering through email, spreadsheets, phone requests, and inconsistent ticket fields. The fragmented intake process causes dispatch rework, parts misses, overtime, and engineering interruptions. Leadership needs a decision on whether to fund a governed intake and parts-readiness modernization rather than continue absorbing operational leakage.</w:t>
        <w:br/>
        <w:br/>
        <w:t>The recommended path is: Approve an 8-week discovery and pilot-design phase for governed workflow modernization using existing platforms where practical. The phase should validate baseline leakage, define the intake and dispatch operating model, design the parts-readiness workflow, assess integration effort, and produce a gated implementation request for a two-region pilot.</w:t>
        <w:br/>
        <w:br/>
        <w:t>The requested action is: Approve an 8-week discovery and pilot-design phase funded at $85,000, authorize cross-functional participation, and reserve a conditional implementation funding range of $525,000-$725,000 pending the gate review..</w:t>
      </w:r>
    </w:p>
    <w:p>
      <w:pPr>
        <w:pStyle w:val="Heading1"/>
      </w:pPr>
      <w:r>
        <w:t>2. Decision Request</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r>
              <w:rPr>
                <w:b/>
                <w:sz w:val="17"/>
              </w:rPr>
              <w:t>Field</w:t>
            </w:r>
          </w:p>
        </w:tc>
        <w:tc>
          <w:tcPr>
            <w:tcW w:type="dxa" w:w="5184"/>
            <w:vAlign w:val="top"/>
            <w:shd w:fill="D9EAF7"/>
          </w:tcPr>
          <w:p>
            <w:r>
              <w:rPr>
                <w:b/>
                <w:sz w:val="17"/>
              </w:rPr>
              <w:t>Detail</w:t>
            </w:r>
          </w:p>
        </w:tc>
      </w:tr>
      <w:tr>
        <w:tc>
          <w:tcPr>
            <w:tcW w:type="dxa" w:w="5184"/>
            <w:vAlign w:val="top"/>
          </w:tcPr>
          <w:p>
            <w:r>
              <w:rPr>
                <w:sz w:val="17"/>
              </w:rPr>
              <w:t>Decision needed</w:t>
            </w:r>
          </w:p>
        </w:tc>
        <w:tc>
          <w:tcPr>
            <w:tcW w:type="dxa" w:w="5184"/>
            <w:vAlign w:val="top"/>
          </w:tcPr>
          <w:p>
            <w:r>
              <w:rPr>
                <w:sz w:val="17"/>
              </w:rPr>
              <w:t>Approve funding and portfolio priority for a governed modernization of field service work-order intake, dispatch triage, and parts-readiness coordination.</w:t>
            </w:r>
          </w:p>
        </w:tc>
      </w:tr>
      <w:tr>
        <w:tc>
          <w:tcPr>
            <w:tcW w:type="dxa" w:w="5184"/>
            <w:vAlign w:val="top"/>
          </w:tcPr>
          <w:p>
            <w:r>
              <w:rPr>
                <w:sz w:val="17"/>
              </w:rPr>
              <w:t>Decision owner/body</w:t>
            </w:r>
          </w:p>
        </w:tc>
        <w:tc>
          <w:tcPr>
            <w:tcW w:type="dxa" w:w="5184"/>
            <w:vAlign w:val="top"/>
          </w:tcPr>
          <w:p>
            <w:r>
              <w:rPr>
                <w:sz w:val="17"/>
              </w:rPr>
              <w:t>Operations Steering Committee with Finance, Technology, Engineering, and Field Service representation.</w:t>
            </w:r>
          </w:p>
        </w:tc>
      </w:tr>
      <w:tr>
        <w:tc>
          <w:tcPr>
            <w:tcW w:type="dxa" w:w="5184"/>
            <w:vAlign w:val="top"/>
          </w:tcPr>
          <w:p>
            <w:r>
              <w:rPr>
                <w:sz w:val="17"/>
              </w:rPr>
              <w:t>Requested action</w:t>
            </w:r>
          </w:p>
        </w:tc>
        <w:tc>
          <w:tcPr>
            <w:tcW w:type="dxa" w:w="5184"/>
            <w:vAlign w:val="top"/>
          </w:tcPr>
          <w:p>
            <w:r>
              <w:rPr>
                <w:sz w:val="17"/>
              </w:rPr>
              <w:t>Approve an 8-week discovery and pilot-design phase funded at $85,000, authorize cross-functional participation, and reserve a conditional implementation funding range of $525,000-$725,000 pending the gate review.</w:t>
            </w:r>
          </w:p>
        </w:tc>
      </w:tr>
      <w:tr>
        <w:tc>
          <w:tcPr>
            <w:tcW w:type="dxa" w:w="5184"/>
            <w:vAlign w:val="top"/>
          </w:tcPr>
          <w:p>
            <w:r>
              <w:rPr>
                <w:sz w:val="17"/>
              </w:rPr>
              <w:t>Timing</w:t>
            </w:r>
          </w:p>
        </w:tc>
        <w:tc>
          <w:tcPr>
            <w:tcW w:type="dxa" w:w="5184"/>
            <w:vAlign w:val="top"/>
          </w:tcPr>
          <w:p>
            <w:r>
              <w:rPr>
                <w:sz w:val="17"/>
              </w:rPr>
              <w:t>Before the Q3 portfolio lock so the pilot can begin before peak seasonal maintenance demand.</w:t>
            </w:r>
          </w:p>
        </w:tc>
      </w:tr>
      <w:tr>
        <w:tc>
          <w:tcPr>
            <w:tcW w:type="dxa" w:w="5184"/>
            <w:vAlign w:val="top"/>
          </w:tcPr>
          <w:p>
            <w:r>
              <w:rPr>
                <w:sz w:val="17"/>
              </w:rPr>
              <w:t>Maturity score</w:t>
            </w:r>
          </w:p>
        </w:tc>
        <w:tc>
          <w:tcPr>
            <w:tcW w:type="dxa" w:w="5184"/>
            <w:vAlign w:val="top"/>
          </w:tcPr>
          <w:p>
            <w:r>
              <w:rPr>
                <w:sz w:val="17"/>
              </w:rPr>
              <w:t>56/60 - Decision-ready with caveats.</w:t>
            </w:r>
          </w:p>
        </w:tc>
      </w:tr>
    </w:tbl>
    <w:p>
      <w:pPr>
        <w:pStyle w:val="Heading1"/>
      </w:pPr>
      <w:r>
        <w:t>3. Problem or Opportunity Statement</w:t>
      </w:r>
    </w:p>
    <w:p>
      <w:r>
        <w:t>Field service work orders are entering through email, spreadsheets, phone requests, and inconsistent ticket fields. The fragmented intake process causes dispatch rework, parts misses, overtime, and engineering interruptions. Leadership needs a decision on whether to fund a governed intake and parts-readiness modernization rather than continue absorbing operational leakage.</w:t>
      </w:r>
    </w:p>
    <w:p>
      <w:pPr>
        <w:pStyle w:val="Heading1"/>
      </w:pPr>
      <w:r>
        <w:t>4. Strategic Alignment</w:t>
      </w:r>
    </w:p>
    <w:p>
      <w:r>
        <w:t>The initiative supports service reliability, margin protection, customer responsiveness, field technician productivity, and better use of engineering capacity. It also creates a cleaner operating baseline for future automation without assuming automation value before process and data quality are improved.</w:t>
      </w:r>
    </w:p>
    <w:p>
      <w:pPr>
        <w:pStyle w:val="Heading1"/>
      </w:pPr>
      <w:r>
        <w:t>5. Current State and Gap Analysis</w:t>
      </w:r>
    </w:p>
    <w:p>
      <w:pPr>
        <w:pStyle w:val="Heading2"/>
      </w:pPr>
      <w:r>
        <w:t>Current State</w:t>
      </w:r>
    </w:p>
    <w:p>
      <w:r>
        <w:t>The service organization receives roughly 3,800 work orders per month across four regions. Intake quality varies by requester and channel. Dispatchers often reclassify work, planners manually check parts availability, and engineers are pulled into avoidable triage when symptoms, site configuration, or prior repair history are missing. Managers use weekly spreadsheet reconciliations to understand backlog, expedite costs, and missed appointments.</w:t>
      </w:r>
    </w:p>
    <w:p>
      <w:pPr>
        <w:pStyle w:val="Heading2"/>
      </w:pPr>
      <w:r>
        <w:t>Gap Analysis</w:t>
      </w:r>
    </w:p>
    <w:p>
      <w:r>
        <w:t>The gap is not a single missing tool. The organization lacks a standard intake model, required work-order data fields, triage rules, parts-readiness checks, ownership for data quality, and a governance rhythm for backlog and exception review. Existing systems contain useful data, but the operating model does not convert that data into reliable dispatch decisions.</w:t>
      </w:r>
    </w:p>
    <w:p>
      <w:pPr>
        <w:pStyle w:val="Heading2"/>
      </w:pPr>
      <w:r>
        <w:t>Desired Future State</w:t>
      </w:r>
    </w:p>
    <w:p>
      <w:r>
        <w:t>Field service requests enter through a governed intake path with required data fields, clear triage rules, automated or semi-automated parts-readiness checks, integrated visibility into dispatch status, and weekly governance over backlog, exceptions, field constraints, and benefits realization.</w:t>
      </w:r>
    </w:p>
    <w:p>
      <w:pPr>
        <w:pStyle w:val="Heading1"/>
      </w:pPr>
      <w:r>
        <w:t>6. Options Analysis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r>
              <w:rPr>
                <w:b/>
                <w:sz w:val="17"/>
              </w:rPr>
              <w:t>Option</w:t>
            </w:r>
          </w:p>
        </w:tc>
        <w:tc>
          <w:tcPr>
            <w:tcW w:type="dxa" w:w="2074"/>
            <w:vAlign w:val="top"/>
            <w:shd w:fill="D9EAF7"/>
          </w:tcPr>
          <w:p>
            <w:r>
              <w:rPr>
                <w:b/>
                <w:sz w:val="17"/>
              </w:rPr>
              <w:t>Description</w:t>
            </w:r>
          </w:p>
        </w:tc>
        <w:tc>
          <w:tcPr>
            <w:tcW w:type="dxa" w:w="2074"/>
            <w:vAlign w:val="top"/>
            <w:shd w:fill="D9EAF7"/>
          </w:tcPr>
          <w:p>
            <w:r>
              <w:rPr>
                <w:b/>
                <w:sz w:val="17"/>
              </w:rPr>
              <w:t>Advantages</w:t>
            </w:r>
          </w:p>
        </w:tc>
        <w:tc>
          <w:tcPr>
            <w:tcW w:type="dxa" w:w="2074"/>
            <w:vAlign w:val="top"/>
            <w:shd w:fill="D9EAF7"/>
          </w:tcPr>
          <w:p>
            <w:r>
              <w:rPr>
                <w:b/>
                <w:sz w:val="17"/>
              </w:rPr>
              <w:t>Disadvantages</w:t>
            </w:r>
          </w:p>
        </w:tc>
        <w:tc>
          <w:tcPr>
            <w:tcW w:type="dxa" w:w="2074"/>
            <w:vAlign w:val="top"/>
            <w:shd w:fill="D9EAF7"/>
          </w:tcPr>
          <w:p>
            <w:r>
              <w:rPr>
                <w:b/>
                <w:sz w:val="17"/>
              </w:rPr>
              <w:t>Decision Notes</w:t>
            </w:r>
          </w:p>
        </w:tc>
      </w:tr>
      <w:tr>
        <w:tc>
          <w:tcPr>
            <w:tcW w:type="dxa" w:w="2074"/>
            <w:vAlign w:val="top"/>
          </w:tcPr>
          <w:p>
            <w:r>
              <w:rPr>
                <w:sz w:val="17"/>
              </w:rPr>
              <w:t>Do nothing</w:t>
            </w:r>
          </w:p>
        </w:tc>
        <w:tc>
          <w:tcPr>
            <w:tcW w:type="dxa" w:w="2074"/>
            <w:vAlign w:val="top"/>
          </w:tcPr>
          <w:p>
            <w:r>
              <w:rPr>
                <w:sz w:val="17"/>
              </w:rPr>
              <w:t>Continue operating with current email, spreadsheet, and ticket-field practices.</w:t>
            </w:r>
          </w:p>
        </w:tc>
        <w:tc>
          <w:tcPr>
            <w:tcW w:type="dxa" w:w="2074"/>
            <w:vAlign w:val="top"/>
          </w:tcPr>
          <w:p>
            <w:r>
              <w:rPr>
                <w:sz w:val="17"/>
              </w:rPr>
              <w:t>No near-term funding required; No delivery disruption; No process change burden</w:t>
            </w:r>
          </w:p>
        </w:tc>
        <w:tc>
          <w:tcPr>
            <w:tcW w:type="dxa" w:w="2074"/>
            <w:vAlign w:val="top"/>
          </w:tcPr>
          <w:p>
            <w:r>
              <w:rPr>
                <w:sz w:val="17"/>
              </w:rPr>
              <w:t>Dispatch rework and overtime continue; Parts misses remain unmanaged; Engineering remains exposed to avoidable triage; Managers continue relying on lagging spreadsheet reconciliations</w:t>
            </w:r>
          </w:p>
        </w:tc>
        <w:tc>
          <w:tcPr>
            <w:tcW w:type="dxa" w:w="2074"/>
            <w:vAlign w:val="top"/>
          </w:tcPr>
          <w:p>
            <w:r>
              <w:rPr>
                <w:sz w:val="17"/>
              </w:rPr>
              <w:t>Valid baseline only; it does not address the cost of inaction.</w:t>
            </w:r>
          </w:p>
        </w:tc>
      </w:tr>
      <w:tr>
        <w:tc>
          <w:tcPr>
            <w:tcW w:type="dxa" w:w="2074"/>
            <w:vAlign w:val="top"/>
          </w:tcPr>
          <w:p>
            <w:r>
              <w:rPr>
                <w:sz w:val="17"/>
              </w:rPr>
              <w:t>Policy-only standardization</w:t>
            </w:r>
          </w:p>
        </w:tc>
        <w:tc>
          <w:tcPr>
            <w:tcW w:type="dxa" w:w="2074"/>
            <w:vAlign w:val="top"/>
          </w:tcPr>
          <w:p>
            <w:r>
              <w:rPr>
                <w:sz w:val="17"/>
              </w:rPr>
              <w:t>Publish standard intake rules and require regions to improve work-order fields without system or workflow changes.</w:t>
            </w:r>
          </w:p>
        </w:tc>
        <w:tc>
          <w:tcPr>
            <w:tcW w:type="dxa" w:w="2074"/>
            <w:vAlign w:val="top"/>
          </w:tcPr>
          <w:p>
            <w:r>
              <w:rPr>
                <w:sz w:val="17"/>
              </w:rPr>
              <w:t>Low cost; Can start quickly; Clarifies management expectations</w:t>
            </w:r>
          </w:p>
        </w:tc>
        <w:tc>
          <w:tcPr>
            <w:tcW w:type="dxa" w:w="2074"/>
            <w:vAlign w:val="top"/>
          </w:tcPr>
          <w:p>
            <w:r>
              <w:rPr>
                <w:sz w:val="17"/>
              </w:rPr>
              <w:t>Compliance likely weak without workflow enforcement; Limited visibility into exceptions; Benefits depend on manual behavior change; Parts-readiness gap remains largely unchanged</w:t>
            </w:r>
          </w:p>
        </w:tc>
        <w:tc>
          <w:tcPr>
            <w:tcW w:type="dxa" w:w="2074"/>
            <w:vAlign w:val="top"/>
          </w:tcPr>
          <w:p>
            <w:r>
              <w:rPr>
                <w:sz w:val="17"/>
              </w:rPr>
              <w:t>Useful as a supporting action, but insufficient as the primary solution.</w:t>
            </w:r>
          </w:p>
        </w:tc>
      </w:tr>
      <w:tr>
        <w:tc>
          <w:tcPr>
            <w:tcW w:type="dxa" w:w="2074"/>
            <w:vAlign w:val="top"/>
          </w:tcPr>
          <w:p>
            <w:r>
              <w:rPr>
                <w:sz w:val="17"/>
              </w:rPr>
              <w:t>Governed workflow modernization using existing platforms</w:t>
            </w:r>
          </w:p>
        </w:tc>
        <w:tc>
          <w:tcPr>
            <w:tcW w:type="dxa" w:w="2074"/>
            <w:vAlign w:val="top"/>
          </w:tcPr>
          <w:p>
            <w:r>
              <w:rPr>
                <w:sz w:val="17"/>
              </w:rPr>
              <w:t>Standardize intake, define triage rules, add parts-readiness checkpoints, integrate available system data, and pilot the model in two regions before scaling.</w:t>
            </w:r>
          </w:p>
        </w:tc>
        <w:tc>
          <w:tcPr>
            <w:tcW w:type="dxa" w:w="2074"/>
            <w:vAlign w:val="top"/>
          </w:tcPr>
          <w:p>
            <w:r>
              <w:rPr>
                <w:sz w:val="17"/>
              </w:rPr>
              <w:t>Addresses root operating-model gaps; Avoids premature platform replacement; Creates measurable pilot evidence; Improves confidence before full implementation funding</w:t>
            </w:r>
          </w:p>
        </w:tc>
        <w:tc>
          <w:tcPr>
            <w:tcW w:type="dxa" w:w="2074"/>
            <w:vAlign w:val="top"/>
          </w:tcPr>
          <w:p>
            <w:r>
              <w:rPr>
                <w:sz w:val="17"/>
              </w:rPr>
              <w:t>Requires cross-functional participation; Benefits depend on adoption and data-quality ownership; Some integration assumptions must be validated</w:t>
            </w:r>
          </w:p>
        </w:tc>
        <w:tc>
          <w:tcPr>
            <w:tcW w:type="dxa" w:w="2074"/>
            <w:vAlign w:val="top"/>
          </w:tcPr>
          <w:p>
            <w:r>
              <w:rPr>
                <w:sz w:val="17"/>
              </w:rPr>
              <w:t>Recommended path because it balances value, speed, and investment control.</w:t>
            </w:r>
          </w:p>
        </w:tc>
      </w:tr>
      <w:tr>
        <w:tc>
          <w:tcPr>
            <w:tcW w:type="dxa" w:w="2074"/>
            <w:vAlign w:val="top"/>
          </w:tcPr>
          <w:p>
            <w:r>
              <w:rPr>
                <w:sz w:val="17"/>
              </w:rPr>
              <w:t>Full field service platform replacement</w:t>
            </w:r>
          </w:p>
        </w:tc>
        <w:tc>
          <w:tcPr>
            <w:tcW w:type="dxa" w:w="2074"/>
            <w:vAlign w:val="top"/>
          </w:tcPr>
          <w:p>
            <w:r>
              <w:rPr>
                <w:sz w:val="17"/>
              </w:rPr>
              <w:t>Select and implement a new field service management platform across regions.</w:t>
            </w:r>
          </w:p>
        </w:tc>
        <w:tc>
          <w:tcPr>
            <w:tcW w:type="dxa" w:w="2074"/>
            <w:vAlign w:val="top"/>
          </w:tcPr>
          <w:p>
            <w:r>
              <w:rPr>
                <w:sz w:val="17"/>
              </w:rPr>
              <w:t>Could address broader capability gaps; May improve technician experience and future optimization options</w:t>
            </w:r>
          </w:p>
        </w:tc>
        <w:tc>
          <w:tcPr>
            <w:tcW w:type="dxa" w:w="2074"/>
            <w:vAlign w:val="top"/>
          </w:tcPr>
          <w:p>
            <w:r>
              <w:rPr>
                <w:sz w:val="17"/>
              </w:rPr>
              <w:t>Highest cost and delivery risk; Long procurement and implementation cycle; May automate poor data and process discipline; Not justified until the operating model and value case are validated</w:t>
            </w:r>
          </w:p>
        </w:tc>
        <w:tc>
          <w:tcPr>
            <w:tcW w:type="dxa" w:w="2074"/>
            <w:vAlign w:val="top"/>
          </w:tcPr>
          <w:p>
            <w:r>
              <w:rPr>
                <w:sz w:val="17"/>
              </w:rPr>
              <w:t>Potential future path, but not recommended for the current decision.</w:t>
            </w:r>
          </w:p>
        </w:tc>
      </w:tr>
    </w:tbl>
    <w:p>
      <w:pPr>
        <w:pStyle w:val="Heading1"/>
      </w:pPr>
      <w:r>
        <w:t>7. Recommended Solution</w:t>
      </w:r>
    </w:p>
    <w:p>
      <w:r>
        <w:t>Approve an 8-week discovery and pilot-design phase for governed workflow modernization using existing platforms where practical. The phase should validate baseline leakage, define the intake and dispatch operating model, design the parts-readiness workflow, assess integration effort, and produce a gated implementation request for a two-region pilot.</w:t>
      </w:r>
    </w:p>
    <w:p>
      <w:pPr>
        <w:pStyle w:val="Heading1"/>
      </w:pPr>
      <w:r>
        <w:t>8. Benefits and Value Case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r>
              <w:rPr>
                <w:b/>
                <w:sz w:val="17"/>
              </w:rPr>
              <w:t>Benefit</w:t>
            </w:r>
          </w:p>
        </w:tc>
        <w:tc>
          <w:tcPr>
            <w:tcW w:type="dxa" w:w="2592"/>
            <w:vAlign w:val="top"/>
            <w:shd w:fill="D9EAF7"/>
          </w:tcPr>
          <w:p>
            <w:r>
              <w:rPr>
                <w:b/>
                <w:sz w:val="17"/>
              </w:rPr>
              <w:t>Type</w:t>
            </w:r>
          </w:p>
        </w:tc>
        <w:tc>
          <w:tcPr>
            <w:tcW w:type="dxa" w:w="2592"/>
            <w:vAlign w:val="top"/>
            <w:shd w:fill="D9EAF7"/>
          </w:tcPr>
          <w:p>
            <w:r>
              <w:rPr>
                <w:b/>
                <w:sz w:val="17"/>
              </w:rPr>
              <w:t>Evidence / Assumption</w:t>
            </w:r>
          </w:p>
        </w:tc>
        <w:tc>
          <w:tcPr>
            <w:tcW w:type="dxa" w:w="2592"/>
            <w:vAlign w:val="top"/>
            <w:shd w:fill="D9EAF7"/>
          </w:tcPr>
          <w:p>
            <w:r>
              <w:rPr>
                <w:b/>
                <w:sz w:val="17"/>
              </w:rPr>
              <w:t>Measurement Approach</w:t>
            </w:r>
          </w:p>
        </w:tc>
      </w:tr>
      <w:tr>
        <w:tc>
          <w:tcPr>
            <w:tcW w:type="dxa" w:w="2592"/>
            <w:vAlign w:val="top"/>
          </w:tcPr>
          <w:p>
            <w:r>
              <w:rPr>
                <w:sz w:val="17"/>
              </w:rPr>
              <w:t>Reduced dispatch rework</w:t>
            </w:r>
          </w:p>
        </w:tc>
        <w:tc>
          <w:tcPr>
            <w:tcW w:type="dxa" w:w="2592"/>
            <w:vAlign w:val="top"/>
          </w:tcPr>
          <w:p>
            <w:r>
              <w:rPr>
                <w:sz w:val="17"/>
              </w:rPr>
              <w:t>Productivity / service reliability</w:t>
            </w:r>
          </w:p>
        </w:tc>
        <w:tc>
          <w:tcPr>
            <w:tcW w:type="dxa" w:w="2592"/>
            <w:vAlign w:val="top"/>
          </w:tcPr>
          <w:p>
            <w:r>
              <w:rPr>
                <w:sz w:val="17"/>
              </w:rPr>
              <w:t>Dummy baseline shows 14% of monthly work orders require dispatcher reclassification or manual follow-up before scheduling.</w:t>
            </w:r>
          </w:p>
        </w:tc>
        <w:tc>
          <w:tcPr>
            <w:tcW w:type="dxa" w:w="2592"/>
            <w:vAlign w:val="top"/>
          </w:tcPr>
          <w:p>
            <w:r>
              <w:rPr>
                <w:sz w:val="17"/>
              </w:rPr>
              <w:t>Track percentage of work orders requiring reclassification, missing fields, or manual follow-up before and after pilot.</w:t>
            </w:r>
          </w:p>
        </w:tc>
      </w:tr>
      <w:tr>
        <w:tc>
          <w:tcPr>
            <w:tcW w:type="dxa" w:w="2592"/>
            <w:vAlign w:val="top"/>
          </w:tcPr>
          <w:p>
            <w:r>
              <w:rPr>
                <w:sz w:val="17"/>
              </w:rPr>
              <w:t>Lower overtime and expedite leakage</w:t>
            </w:r>
          </w:p>
        </w:tc>
        <w:tc>
          <w:tcPr>
            <w:tcW w:type="dxa" w:w="2592"/>
            <w:vAlign w:val="top"/>
          </w:tcPr>
          <w:p>
            <w:r>
              <w:rPr>
                <w:sz w:val="17"/>
              </w:rPr>
              <w:t>Financial</w:t>
            </w:r>
          </w:p>
        </w:tc>
        <w:tc>
          <w:tcPr>
            <w:tcW w:type="dxa" w:w="2592"/>
            <w:vAlign w:val="top"/>
          </w:tcPr>
          <w:p>
            <w:r>
              <w:rPr>
                <w:sz w:val="17"/>
              </w:rPr>
              <w:t>Dummy finance estimate attributes $41,000 per month to overtime, expedite freight, and avoidable second visits tied to intake or parts-readiness issues.</w:t>
            </w:r>
          </w:p>
        </w:tc>
        <w:tc>
          <w:tcPr>
            <w:tcW w:type="dxa" w:w="2592"/>
            <w:vAlign w:val="top"/>
          </w:tcPr>
          <w:p>
            <w:r>
              <w:rPr>
                <w:sz w:val="17"/>
              </w:rPr>
              <w:t>Compare monthly overtime, expedite freight, and repeat-visit cost trends against pilot baseline.</w:t>
            </w:r>
          </w:p>
        </w:tc>
      </w:tr>
      <w:tr>
        <w:tc>
          <w:tcPr>
            <w:tcW w:type="dxa" w:w="2592"/>
            <w:vAlign w:val="top"/>
          </w:tcPr>
          <w:p>
            <w:r>
              <w:rPr>
                <w:sz w:val="17"/>
              </w:rPr>
              <w:t>Improved parts readiness</w:t>
            </w:r>
          </w:p>
        </w:tc>
        <w:tc>
          <w:tcPr>
            <w:tcW w:type="dxa" w:w="2592"/>
            <w:vAlign w:val="top"/>
          </w:tcPr>
          <w:p>
            <w:r>
              <w:rPr>
                <w:sz w:val="17"/>
              </w:rPr>
              <w:t>Operational effectiveness</w:t>
            </w:r>
          </w:p>
        </w:tc>
        <w:tc>
          <w:tcPr>
            <w:tcW w:type="dxa" w:w="2592"/>
            <w:vAlign w:val="top"/>
          </w:tcPr>
          <w:p>
            <w:r>
              <w:rPr>
                <w:sz w:val="17"/>
              </w:rPr>
              <w:t>Dummy baseline shows 7.6% of scheduled visits encounter parts-readiness exceptions.</w:t>
            </w:r>
          </w:p>
        </w:tc>
        <w:tc>
          <w:tcPr>
            <w:tcW w:type="dxa" w:w="2592"/>
            <w:vAlign w:val="top"/>
          </w:tcPr>
          <w:p>
            <w:r>
              <w:rPr>
                <w:sz w:val="17"/>
              </w:rPr>
              <w:t>Track parts exceptions per scheduled visit, first-time fix rate, and parts-related reschedules.</w:t>
            </w:r>
          </w:p>
        </w:tc>
      </w:tr>
      <w:tr>
        <w:tc>
          <w:tcPr>
            <w:tcW w:type="dxa" w:w="2592"/>
            <w:vAlign w:val="top"/>
          </w:tcPr>
          <w:p>
            <w:r>
              <w:rPr>
                <w:sz w:val="17"/>
              </w:rPr>
              <w:t>Reduced engineering interruption load</w:t>
            </w:r>
          </w:p>
        </w:tc>
        <w:tc>
          <w:tcPr>
            <w:tcW w:type="dxa" w:w="2592"/>
            <w:vAlign w:val="top"/>
          </w:tcPr>
          <w:p>
            <w:r>
              <w:rPr>
                <w:sz w:val="17"/>
              </w:rPr>
              <w:t>Capacity / focus</w:t>
            </w:r>
          </w:p>
        </w:tc>
        <w:tc>
          <w:tcPr>
            <w:tcW w:type="dxa" w:w="2592"/>
            <w:vAlign w:val="top"/>
          </w:tcPr>
          <w:p>
            <w:r>
              <w:rPr>
                <w:sz w:val="17"/>
              </w:rPr>
              <w:t>Engineering support notes estimate 18 hours per week spent on avoidable triage caused by incomplete intake context.</w:t>
            </w:r>
          </w:p>
        </w:tc>
        <w:tc>
          <w:tcPr>
            <w:tcW w:type="dxa" w:w="2592"/>
            <w:vAlign w:val="top"/>
          </w:tcPr>
          <w:p>
            <w:r>
              <w:rPr>
                <w:sz w:val="17"/>
              </w:rPr>
              <w:t>Track engineering triage hours and repeat question categories before and after standardized intake.</w:t>
            </w:r>
          </w:p>
        </w:tc>
      </w:tr>
      <w:tr>
        <w:tc>
          <w:tcPr>
            <w:tcW w:type="dxa" w:w="2592"/>
            <w:vAlign w:val="top"/>
          </w:tcPr>
          <w:p>
            <w:r>
              <w:rPr>
                <w:sz w:val="17"/>
              </w:rPr>
              <w:t>Cleaner portfolio and governance baseline</w:t>
            </w:r>
          </w:p>
        </w:tc>
        <w:tc>
          <w:tcPr>
            <w:tcW w:type="dxa" w:w="2592"/>
            <w:vAlign w:val="top"/>
          </w:tcPr>
          <w:p>
            <w:r>
              <w:rPr>
                <w:sz w:val="17"/>
              </w:rPr>
              <w:t>Management control</w:t>
            </w:r>
          </w:p>
        </w:tc>
        <w:tc>
          <w:tcPr>
            <w:tcW w:type="dxa" w:w="2592"/>
            <w:vAlign w:val="top"/>
          </w:tcPr>
          <w:p>
            <w:r>
              <w:rPr>
                <w:sz w:val="17"/>
              </w:rPr>
              <w:t>Regional managers currently reconcile backlog and exceptions through separate spreadsheets.</w:t>
            </w:r>
          </w:p>
        </w:tc>
        <w:tc>
          <w:tcPr>
            <w:tcW w:type="dxa" w:w="2592"/>
            <w:vAlign w:val="top"/>
          </w:tcPr>
          <w:p>
            <w:r>
              <w:rPr>
                <w:sz w:val="17"/>
              </w:rPr>
              <w:t>Track backlog aging, exception categories, and decision actions through a single weekly governance view.</w:t>
            </w:r>
          </w:p>
        </w:tc>
      </w:tr>
    </w:tbl>
    <w:p>
      <w:pPr>
        <w:pStyle w:val="Heading1"/>
      </w:pPr>
      <w:r>
        <w:t>9. Costs, Funding, and ROI Considerations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r>
              <w:rPr>
                <w:b/>
                <w:sz w:val="17"/>
              </w:rPr>
              <w:t>Cost Area</w:t>
            </w:r>
          </w:p>
        </w:tc>
        <w:tc>
          <w:tcPr>
            <w:tcW w:type="dxa" w:w="2592"/>
            <w:vAlign w:val="top"/>
            <w:shd w:fill="D9EAF7"/>
          </w:tcPr>
          <w:p>
            <w:r>
              <w:rPr>
                <w:b/>
                <w:sz w:val="17"/>
              </w:rPr>
              <w:t>Estimate</w:t>
            </w:r>
          </w:p>
        </w:tc>
        <w:tc>
          <w:tcPr>
            <w:tcW w:type="dxa" w:w="2592"/>
            <w:vAlign w:val="top"/>
            <w:shd w:fill="D9EAF7"/>
          </w:tcPr>
          <w:p>
            <w:r>
              <w:rPr>
                <w:b/>
                <w:sz w:val="17"/>
              </w:rPr>
              <w:t>One-time / Ongoing</w:t>
            </w:r>
          </w:p>
        </w:tc>
        <w:tc>
          <w:tcPr>
            <w:tcW w:type="dxa" w:w="2592"/>
            <w:vAlign w:val="top"/>
            <w:shd w:fill="D9EAF7"/>
          </w:tcPr>
          <w:p>
            <w:r>
              <w:rPr>
                <w:b/>
                <w:sz w:val="17"/>
              </w:rPr>
              <w:t>Notes</w:t>
            </w:r>
          </w:p>
        </w:tc>
      </w:tr>
      <w:tr>
        <w:tc>
          <w:tcPr>
            <w:tcW w:type="dxa" w:w="2592"/>
            <w:vAlign w:val="top"/>
          </w:tcPr>
          <w:p>
            <w:r>
              <w:rPr>
                <w:sz w:val="17"/>
              </w:rPr>
              <w:t>Discovery and pilot design</w:t>
            </w:r>
          </w:p>
        </w:tc>
        <w:tc>
          <w:tcPr>
            <w:tcW w:type="dxa" w:w="2592"/>
            <w:vAlign w:val="top"/>
          </w:tcPr>
          <w:p>
            <w:r>
              <w:rPr>
                <w:sz w:val="17"/>
              </w:rPr>
              <w:t>$85,000</w:t>
            </w:r>
          </w:p>
        </w:tc>
        <w:tc>
          <w:tcPr>
            <w:tcW w:type="dxa" w:w="2592"/>
            <w:vAlign w:val="top"/>
          </w:tcPr>
          <w:p>
            <w:r>
              <w:rPr>
                <w:sz w:val="17"/>
              </w:rPr>
              <w:t>One-time</w:t>
            </w:r>
          </w:p>
        </w:tc>
        <w:tc>
          <w:tcPr>
            <w:tcW w:type="dxa" w:w="2592"/>
            <w:vAlign w:val="top"/>
          </w:tcPr>
          <w:p>
            <w:r>
              <w:rPr>
                <w:sz w:val="17"/>
              </w:rPr>
              <w:t>Includes process assessment, data profiling, stakeholder workshops, integration assessment, and implementation planning.</w:t>
            </w:r>
          </w:p>
        </w:tc>
      </w:tr>
      <w:tr>
        <w:tc>
          <w:tcPr>
            <w:tcW w:type="dxa" w:w="2592"/>
            <w:vAlign w:val="top"/>
          </w:tcPr>
          <w:p>
            <w:r>
              <w:rPr>
                <w:sz w:val="17"/>
              </w:rPr>
              <w:t>Pilot workflow configuration and integration</w:t>
            </w:r>
          </w:p>
        </w:tc>
        <w:tc>
          <w:tcPr>
            <w:tcW w:type="dxa" w:w="2592"/>
            <w:vAlign w:val="top"/>
          </w:tcPr>
          <w:p>
            <w:r>
              <w:rPr>
                <w:sz w:val="17"/>
              </w:rPr>
              <w:t>$210,000-$280,000</w:t>
            </w:r>
          </w:p>
        </w:tc>
        <w:tc>
          <w:tcPr>
            <w:tcW w:type="dxa" w:w="2592"/>
            <w:vAlign w:val="top"/>
          </w:tcPr>
          <w:p>
            <w:r>
              <w:rPr>
                <w:sz w:val="17"/>
              </w:rPr>
              <w:t>One-time</w:t>
            </w:r>
          </w:p>
        </w:tc>
        <w:tc>
          <w:tcPr>
            <w:tcW w:type="dxa" w:w="2592"/>
            <w:vAlign w:val="top"/>
          </w:tcPr>
          <w:p>
            <w:r>
              <w:rPr>
                <w:sz w:val="17"/>
              </w:rPr>
              <w:t>Includes intake form configuration, workflow rules, integration adapters, reporting, and test support for two regions.</w:t>
            </w:r>
          </w:p>
        </w:tc>
      </w:tr>
      <w:tr>
        <w:tc>
          <w:tcPr>
            <w:tcW w:type="dxa" w:w="2592"/>
            <w:vAlign w:val="top"/>
          </w:tcPr>
          <w:p>
            <w:r>
              <w:rPr>
                <w:sz w:val="17"/>
              </w:rPr>
              <w:t>Data cleanup and migration preparation</w:t>
            </w:r>
          </w:p>
        </w:tc>
        <w:tc>
          <w:tcPr>
            <w:tcW w:type="dxa" w:w="2592"/>
            <w:vAlign w:val="top"/>
          </w:tcPr>
          <w:p>
            <w:r>
              <w:rPr>
                <w:sz w:val="17"/>
              </w:rPr>
              <w:t>$70,000-$110,000</w:t>
            </w:r>
          </w:p>
        </w:tc>
        <w:tc>
          <w:tcPr>
            <w:tcW w:type="dxa" w:w="2592"/>
            <w:vAlign w:val="top"/>
          </w:tcPr>
          <w:p>
            <w:r>
              <w:rPr>
                <w:sz w:val="17"/>
              </w:rPr>
              <w:t>One-time</w:t>
            </w:r>
          </w:p>
        </w:tc>
        <w:tc>
          <w:tcPr>
            <w:tcW w:type="dxa" w:w="2592"/>
            <w:vAlign w:val="top"/>
          </w:tcPr>
          <w:p>
            <w:r>
              <w:rPr>
                <w:sz w:val="17"/>
              </w:rPr>
              <w:t>Covers required-field cleanup, category normalization, site/equipment mapping, and parts reference validation.</w:t>
            </w:r>
          </w:p>
        </w:tc>
      </w:tr>
      <w:tr>
        <w:tc>
          <w:tcPr>
            <w:tcW w:type="dxa" w:w="2592"/>
            <w:vAlign w:val="top"/>
          </w:tcPr>
          <w:p>
            <w:r>
              <w:rPr>
                <w:sz w:val="17"/>
              </w:rPr>
              <w:t>Training, change management, and field enablement</w:t>
            </w:r>
          </w:p>
        </w:tc>
        <w:tc>
          <w:tcPr>
            <w:tcW w:type="dxa" w:w="2592"/>
            <w:vAlign w:val="top"/>
          </w:tcPr>
          <w:p>
            <w:r>
              <w:rPr>
                <w:sz w:val="17"/>
              </w:rPr>
              <w:t>$55,000-$80,000</w:t>
            </w:r>
          </w:p>
        </w:tc>
        <w:tc>
          <w:tcPr>
            <w:tcW w:type="dxa" w:w="2592"/>
            <w:vAlign w:val="top"/>
          </w:tcPr>
          <w:p>
            <w:r>
              <w:rPr>
                <w:sz w:val="17"/>
              </w:rPr>
              <w:t>One-time</w:t>
            </w:r>
          </w:p>
        </w:tc>
        <w:tc>
          <w:tcPr>
            <w:tcW w:type="dxa" w:w="2592"/>
            <w:vAlign w:val="top"/>
          </w:tcPr>
          <w:p>
            <w:r>
              <w:rPr>
                <w:sz w:val="17"/>
              </w:rPr>
              <w:t>Includes dispatcher, planner, technician, and manager enablement material.</w:t>
            </w:r>
          </w:p>
        </w:tc>
      </w:tr>
      <w:tr>
        <w:tc>
          <w:tcPr>
            <w:tcW w:type="dxa" w:w="2592"/>
            <w:vAlign w:val="top"/>
          </w:tcPr>
          <w:p>
            <w:r>
              <w:rPr>
                <w:sz w:val="17"/>
              </w:rPr>
              <w:t>Ongoing administration and reporting</w:t>
            </w:r>
          </w:p>
        </w:tc>
        <w:tc>
          <w:tcPr>
            <w:tcW w:type="dxa" w:w="2592"/>
            <w:vAlign w:val="top"/>
          </w:tcPr>
          <w:p>
            <w:r>
              <w:rPr>
                <w:sz w:val="17"/>
              </w:rPr>
              <w:t>$6,000-$9,000 per month</w:t>
            </w:r>
          </w:p>
        </w:tc>
        <w:tc>
          <w:tcPr>
            <w:tcW w:type="dxa" w:w="2592"/>
            <w:vAlign w:val="top"/>
          </w:tcPr>
          <w:p>
            <w:r>
              <w:rPr>
                <w:sz w:val="17"/>
              </w:rPr>
              <w:t>Ongoing</w:t>
            </w:r>
          </w:p>
        </w:tc>
        <w:tc>
          <w:tcPr>
            <w:tcW w:type="dxa" w:w="2592"/>
            <w:vAlign w:val="top"/>
          </w:tcPr>
          <w:p>
            <w:r>
              <w:rPr>
                <w:sz w:val="17"/>
              </w:rPr>
              <w:t>Covers workflow administration, data-quality review, reporting maintenance, and benefits tracking.</w:t>
            </w:r>
          </w:p>
        </w:tc>
      </w:tr>
      <w:tr>
        <w:tc>
          <w:tcPr>
            <w:tcW w:type="dxa" w:w="2592"/>
            <w:vAlign w:val="top"/>
          </w:tcPr>
          <w:p>
            <w:r>
              <w:rPr>
                <w:sz w:val="17"/>
              </w:rPr>
              <w:t>Contingency</w:t>
            </w:r>
          </w:p>
        </w:tc>
        <w:tc>
          <w:tcPr>
            <w:tcW w:type="dxa" w:w="2592"/>
            <w:vAlign w:val="top"/>
          </w:tcPr>
          <w:p>
            <w:r>
              <w:rPr>
                <w:sz w:val="17"/>
              </w:rPr>
              <w:t>15% of implementation cost</w:t>
            </w:r>
          </w:p>
        </w:tc>
        <w:tc>
          <w:tcPr>
            <w:tcW w:type="dxa" w:w="2592"/>
            <w:vAlign w:val="top"/>
          </w:tcPr>
          <w:p>
            <w:r>
              <w:rPr>
                <w:sz w:val="17"/>
              </w:rPr>
              <w:t>One-time</w:t>
            </w:r>
          </w:p>
        </w:tc>
        <w:tc>
          <w:tcPr>
            <w:tcW w:type="dxa" w:w="2592"/>
            <w:vAlign w:val="top"/>
          </w:tcPr>
          <w:p>
            <w:r>
              <w:rPr>
                <w:sz w:val="17"/>
              </w:rPr>
              <w:t>Recommended until integration and data-quality assumptions are validated.</w:t>
            </w:r>
          </w:p>
        </w:tc>
      </w:tr>
    </w:tbl>
    <w:p>
      <w:pPr>
        <w:pStyle w:val="Heading1"/>
      </w:pPr>
      <w:r>
        <w:t>10. Risks, Assumptions, and Constraints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r>
              <w:rPr>
                <w:b/>
                <w:sz w:val="17"/>
              </w:rPr>
              <w:t>Type</w:t>
            </w:r>
          </w:p>
        </w:tc>
        <w:tc>
          <w:tcPr>
            <w:tcW w:type="dxa" w:w="2592"/>
            <w:vAlign w:val="top"/>
            <w:shd w:fill="D9EAF7"/>
          </w:tcPr>
          <w:p>
            <w:r>
              <w:rPr>
                <w:b/>
                <w:sz w:val="17"/>
              </w:rPr>
              <w:t>Item</w:t>
            </w:r>
          </w:p>
        </w:tc>
        <w:tc>
          <w:tcPr>
            <w:tcW w:type="dxa" w:w="2592"/>
            <w:vAlign w:val="top"/>
            <w:shd w:fill="D9EAF7"/>
          </w:tcPr>
          <w:p>
            <w:r>
              <w:rPr>
                <w:b/>
                <w:sz w:val="17"/>
              </w:rPr>
              <w:t>Impact</w:t>
            </w:r>
          </w:p>
        </w:tc>
        <w:tc>
          <w:tcPr>
            <w:tcW w:type="dxa" w:w="2592"/>
            <w:vAlign w:val="top"/>
            <w:shd w:fill="D9EAF7"/>
          </w:tcPr>
          <w:p>
            <w:r>
              <w:rPr>
                <w:b/>
                <w:sz w:val="17"/>
              </w:rPr>
              <w:t>Mitigation / Validation</w:t>
            </w:r>
          </w:p>
        </w:tc>
      </w:tr>
      <w:tr>
        <w:tc>
          <w:tcPr>
            <w:tcW w:type="dxa" w:w="2592"/>
            <w:vAlign w:val="top"/>
          </w:tcPr>
          <w:p>
            <w:r>
              <w:rPr>
                <w:sz w:val="17"/>
              </w:rPr>
              <w:t>Risk</w:t>
            </w:r>
          </w:p>
        </w:tc>
        <w:tc>
          <w:tcPr>
            <w:tcW w:type="dxa" w:w="2592"/>
            <w:vAlign w:val="top"/>
          </w:tcPr>
          <w:p>
            <w:r>
              <w:rPr>
                <w:sz w:val="17"/>
              </w:rPr>
              <w:t>Treating the problem as a tool-selection exercise</w:t>
            </w:r>
          </w:p>
        </w:tc>
        <w:tc>
          <w:tcPr>
            <w:tcW w:type="dxa" w:w="2592"/>
            <w:vAlign w:val="top"/>
          </w:tcPr>
          <w:p>
            <w:r>
              <w:rPr>
                <w:sz w:val="17"/>
              </w:rPr>
              <w:t>The organization could buy or configure technology without resolving intake quality, ownership, and dispatch governance.</w:t>
            </w:r>
          </w:p>
        </w:tc>
        <w:tc>
          <w:tcPr>
            <w:tcW w:type="dxa" w:w="2592"/>
            <w:vAlign w:val="top"/>
          </w:tcPr>
          <w:p>
            <w:r>
              <w:rPr>
                <w:sz w:val="17"/>
              </w:rPr>
              <w:t>Require operating-model design and data-quality ownership before implementation approval.</w:t>
            </w:r>
          </w:p>
        </w:tc>
      </w:tr>
      <w:tr>
        <w:tc>
          <w:tcPr>
            <w:tcW w:type="dxa" w:w="2592"/>
            <w:vAlign w:val="top"/>
          </w:tcPr>
          <w:p>
            <w:r>
              <w:rPr>
                <w:sz w:val="17"/>
              </w:rPr>
              <w:t>Risk</w:t>
            </w:r>
          </w:p>
        </w:tc>
        <w:tc>
          <w:tcPr>
            <w:tcW w:type="dxa" w:w="2592"/>
            <w:vAlign w:val="top"/>
          </w:tcPr>
          <w:p>
            <w:r>
              <w:rPr>
                <w:sz w:val="17"/>
              </w:rPr>
              <w:t>Weak regional adoption</w:t>
            </w:r>
          </w:p>
        </w:tc>
        <w:tc>
          <w:tcPr>
            <w:tcW w:type="dxa" w:w="2592"/>
            <w:vAlign w:val="top"/>
          </w:tcPr>
          <w:p>
            <w:r>
              <w:rPr>
                <w:sz w:val="17"/>
              </w:rPr>
              <w:t>Regions may continue using side spreadsheets or informal escalation channels, reducing measurable benefit.</w:t>
            </w:r>
          </w:p>
        </w:tc>
        <w:tc>
          <w:tcPr>
            <w:tcW w:type="dxa" w:w="2592"/>
            <w:vAlign w:val="top"/>
          </w:tcPr>
          <w:p>
            <w:r>
              <w:rPr>
                <w:sz w:val="17"/>
              </w:rPr>
              <w:t>Pilot with two regions, assign regional change owners, and review adoption metrics weekly.</w:t>
            </w:r>
          </w:p>
        </w:tc>
      </w:tr>
      <w:tr>
        <w:tc>
          <w:tcPr>
            <w:tcW w:type="dxa" w:w="2592"/>
            <w:vAlign w:val="top"/>
          </w:tcPr>
          <w:p>
            <w:r>
              <w:rPr>
                <w:sz w:val="17"/>
              </w:rPr>
              <w:t>Risk</w:t>
            </w:r>
          </w:p>
        </w:tc>
        <w:tc>
          <w:tcPr>
            <w:tcW w:type="dxa" w:w="2592"/>
            <w:vAlign w:val="top"/>
          </w:tcPr>
          <w:p>
            <w:r>
              <w:rPr>
                <w:sz w:val="17"/>
              </w:rPr>
              <w:t>Integration complexity underestimated</w:t>
            </w:r>
          </w:p>
        </w:tc>
        <w:tc>
          <w:tcPr>
            <w:tcW w:type="dxa" w:w="2592"/>
            <w:vAlign w:val="top"/>
          </w:tcPr>
          <w:p>
            <w:r>
              <w:rPr>
                <w:sz w:val="17"/>
              </w:rPr>
              <w:t>Costs and schedule could increase if service, ERP, and inventory data are harder to connect than expected.</w:t>
            </w:r>
          </w:p>
        </w:tc>
        <w:tc>
          <w:tcPr>
            <w:tcW w:type="dxa" w:w="2592"/>
            <w:vAlign w:val="top"/>
          </w:tcPr>
          <w:p>
            <w:r>
              <w:rPr>
                <w:sz w:val="17"/>
              </w:rPr>
              <w:t>Complete technical discovery and interface validation before implementation funding.</w:t>
            </w:r>
          </w:p>
        </w:tc>
      </w:tr>
      <w:tr>
        <w:tc>
          <w:tcPr>
            <w:tcW w:type="dxa" w:w="2592"/>
            <w:vAlign w:val="top"/>
          </w:tcPr>
          <w:p>
            <w:r>
              <w:rPr>
                <w:sz w:val="17"/>
              </w:rPr>
              <w:t>Risk</w:t>
            </w:r>
          </w:p>
        </w:tc>
        <w:tc>
          <w:tcPr>
            <w:tcW w:type="dxa" w:w="2592"/>
            <w:vAlign w:val="top"/>
          </w:tcPr>
          <w:p>
            <w:r>
              <w:rPr>
                <w:sz w:val="17"/>
              </w:rPr>
              <w:t>Parts data quality limits readiness checks</w:t>
            </w:r>
          </w:p>
        </w:tc>
        <w:tc>
          <w:tcPr>
            <w:tcW w:type="dxa" w:w="2592"/>
            <w:vAlign w:val="top"/>
          </w:tcPr>
          <w:p>
            <w:r>
              <w:rPr>
                <w:sz w:val="17"/>
              </w:rPr>
              <w:t>The workflow may flag exceptions inconsistently if parts master data or inventory timing is unreliable.</w:t>
            </w:r>
          </w:p>
        </w:tc>
        <w:tc>
          <w:tcPr>
            <w:tcW w:type="dxa" w:w="2592"/>
            <w:vAlign w:val="top"/>
          </w:tcPr>
          <w:p>
            <w:r>
              <w:rPr>
                <w:sz w:val="17"/>
              </w:rPr>
              <w:t>Add data profiling and exception taxonomy to discovery exit criteria.</w:t>
            </w:r>
          </w:p>
        </w:tc>
      </w:tr>
      <w:tr>
        <w:tc>
          <w:tcPr>
            <w:tcW w:type="dxa" w:w="2592"/>
            <w:vAlign w:val="top"/>
          </w:tcPr>
          <w:p>
            <w:r>
              <w:rPr>
                <w:sz w:val="17"/>
              </w:rPr>
              <w:t>Assumption</w:t>
            </w:r>
          </w:p>
        </w:tc>
        <w:tc>
          <w:tcPr>
            <w:tcW w:type="dxa" w:w="2592"/>
            <w:vAlign w:val="top"/>
          </w:tcPr>
          <w:p>
            <w:r>
              <w:rPr>
                <w:sz w:val="17"/>
              </w:rPr>
              <w:t>Current operational leakage is material enough to justify pilot investment.</w:t>
            </w:r>
          </w:p>
        </w:tc>
        <w:tc>
          <w:tcPr>
            <w:tcW w:type="dxa" w:w="2592"/>
            <w:vAlign w:val="top"/>
          </w:tcPr>
          <w:p>
            <w:r>
              <w:rPr>
                <w:sz w:val="17"/>
              </w:rPr>
              <w:t>Value case weakens if baseline leakage is lower than the dummy estimates.</w:t>
            </w:r>
          </w:p>
        </w:tc>
        <w:tc>
          <w:tcPr>
            <w:tcW w:type="dxa" w:w="2592"/>
            <w:vAlign w:val="top"/>
          </w:tcPr>
          <w:p>
            <w:r>
              <w:rPr>
                <w:sz w:val="17"/>
              </w:rPr>
              <w:t>Validate overtime, expedite freight, repeat visits, rework, and parts exceptions during discovery.</w:t>
            </w:r>
          </w:p>
        </w:tc>
      </w:tr>
      <w:tr>
        <w:tc>
          <w:tcPr>
            <w:tcW w:type="dxa" w:w="2592"/>
            <w:vAlign w:val="top"/>
          </w:tcPr>
          <w:p>
            <w:r>
              <w:rPr>
                <w:sz w:val="17"/>
              </w:rPr>
              <w:t>Assumption</w:t>
            </w:r>
          </w:p>
        </w:tc>
        <w:tc>
          <w:tcPr>
            <w:tcW w:type="dxa" w:w="2592"/>
            <w:vAlign w:val="top"/>
          </w:tcPr>
          <w:p>
            <w:r>
              <w:rPr>
                <w:sz w:val="17"/>
              </w:rPr>
              <w:t>Existing service and inventory platforms can support phase-1 integration.</w:t>
            </w:r>
          </w:p>
        </w:tc>
        <w:tc>
          <w:tcPr>
            <w:tcW w:type="dxa" w:w="2592"/>
            <w:vAlign w:val="top"/>
          </w:tcPr>
          <w:p>
            <w:r>
              <w:rPr>
                <w:sz w:val="17"/>
              </w:rPr>
              <w:t>Scope, cost, and timing may increase if custom integration is required.</w:t>
            </w:r>
          </w:p>
        </w:tc>
        <w:tc>
          <w:tcPr>
            <w:tcW w:type="dxa" w:w="2592"/>
            <w:vAlign w:val="top"/>
          </w:tcPr>
          <w:p>
            <w:r>
              <w:rPr>
                <w:sz w:val="17"/>
              </w:rPr>
              <w:t>Complete integration assessment and proof-of-connectivity during discovery.</w:t>
            </w:r>
          </w:p>
        </w:tc>
      </w:tr>
      <w:tr>
        <w:tc>
          <w:tcPr>
            <w:tcW w:type="dxa" w:w="2592"/>
            <w:vAlign w:val="top"/>
          </w:tcPr>
          <w:p>
            <w:r>
              <w:rPr>
                <w:sz w:val="17"/>
              </w:rPr>
              <w:t>Assumption</w:t>
            </w:r>
          </w:p>
        </w:tc>
        <w:tc>
          <w:tcPr>
            <w:tcW w:type="dxa" w:w="2592"/>
            <w:vAlign w:val="top"/>
          </w:tcPr>
          <w:p>
            <w:r>
              <w:rPr>
                <w:sz w:val="17"/>
              </w:rPr>
              <w:t>Two-region pilot results can reasonably inform scaling decision.</w:t>
            </w:r>
          </w:p>
        </w:tc>
        <w:tc>
          <w:tcPr>
            <w:tcW w:type="dxa" w:w="2592"/>
            <w:vAlign w:val="top"/>
          </w:tcPr>
          <w:p>
            <w:r>
              <w:rPr>
                <w:sz w:val="17"/>
              </w:rPr>
              <w:t>Scaling risk increases if pilot regions are not representative.</w:t>
            </w:r>
          </w:p>
        </w:tc>
        <w:tc>
          <w:tcPr>
            <w:tcW w:type="dxa" w:w="2592"/>
            <w:vAlign w:val="top"/>
          </w:tcPr>
          <w:p>
            <w:r>
              <w:rPr>
                <w:sz w:val="17"/>
              </w:rPr>
              <w:t>Select one high-volume and one moderate-volume region with different service profiles.</w:t>
            </w:r>
          </w:p>
        </w:tc>
      </w:tr>
      <w:tr>
        <w:tc>
          <w:tcPr>
            <w:tcW w:type="dxa" w:w="2592"/>
            <w:vAlign w:val="top"/>
          </w:tcPr>
          <w:p>
            <w:r>
              <w:rPr>
                <w:sz w:val="17"/>
              </w:rPr>
              <w:t>Constraint</w:t>
            </w:r>
          </w:p>
        </w:tc>
        <w:tc>
          <w:tcPr>
            <w:tcW w:type="dxa" w:w="2592"/>
            <w:vAlign w:val="top"/>
          </w:tcPr>
          <w:p>
            <w:r>
              <w:rPr>
                <w:sz w:val="17"/>
              </w:rPr>
              <w:t>Peak maintenance season begins in Q4.</w:t>
            </w:r>
          </w:p>
        </w:tc>
        <w:tc>
          <w:tcPr>
            <w:tcW w:type="dxa" w:w="2592"/>
            <w:vAlign w:val="top"/>
          </w:tcPr>
          <w:p>
            <w:r>
              <w:rPr>
                <w:sz w:val="17"/>
              </w:rPr>
              <w:t>Late implementation could collide with field capacity constraints.</w:t>
            </w:r>
          </w:p>
        </w:tc>
        <w:tc>
          <w:tcPr>
            <w:tcW w:type="dxa" w:w="2592"/>
            <w:vAlign w:val="top"/>
          </w:tcPr>
          <w:p>
            <w:r>
              <w:rPr>
                <w:sz w:val="17"/>
              </w:rPr>
              <w:t>Complete discovery before Q3 portfolio lock and time pilot launch before peak demand.</w:t>
            </w:r>
          </w:p>
        </w:tc>
      </w:tr>
      <w:tr>
        <w:tc>
          <w:tcPr>
            <w:tcW w:type="dxa" w:w="2592"/>
            <w:vAlign w:val="top"/>
          </w:tcPr>
          <w:p>
            <w:r>
              <w:rPr>
                <w:sz w:val="17"/>
              </w:rPr>
              <w:t>Constraint</w:t>
            </w:r>
          </w:p>
        </w:tc>
        <w:tc>
          <w:tcPr>
            <w:tcW w:type="dxa" w:w="2592"/>
            <w:vAlign w:val="top"/>
          </w:tcPr>
          <w:p>
            <w:r>
              <w:rPr>
                <w:sz w:val="17"/>
              </w:rPr>
              <w:t>Implementation funding is not yet approved.</w:t>
            </w:r>
          </w:p>
        </w:tc>
        <w:tc>
          <w:tcPr>
            <w:tcW w:type="dxa" w:w="2592"/>
            <w:vAlign w:val="top"/>
          </w:tcPr>
          <w:p>
            <w:r>
              <w:rPr>
                <w:sz w:val="17"/>
              </w:rPr>
              <w:t>The team cannot commit platform configuration or integration build beyond discovery.</w:t>
            </w:r>
          </w:p>
        </w:tc>
        <w:tc>
          <w:tcPr>
            <w:tcW w:type="dxa" w:w="2592"/>
            <w:vAlign w:val="top"/>
          </w:tcPr>
          <w:p>
            <w:r>
              <w:rPr>
                <w:sz w:val="17"/>
              </w:rPr>
              <w:t>Limit the immediate request to discovery/pilot design and a conditional funding range.</w:t>
            </w:r>
          </w:p>
        </w:tc>
      </w:tr>
      <w:tr>
        <w:tc>
          <w:tcPr>
            <w:tcW w:type="dxa" w:w="2592"/>
            <w:vAlign w:val="top"/>
          </w:tcPr>
          <w:p>
            <w:r>
              <w:rPr>
                <w:sz w:val="17"/>
              </w:rPr>
              <w:t>Constraint</w:t>
            </w:r>
          </w:p>
        </w:tc>
        <w:tc>
          <w:tcPr>
            <w:tcW w:type="dxa" w:w="2592"/>
            <w:vAlign w:val="top"/>
          </w:tcPr>
          <w:p>
            <w:r>
              <w:rPr>
                <w:sz w:val="17"/>
              </w:rPr>
              <w:t>Field technician time for workshops is limited.</w:t>
            </w:r>
          </w:p>
        </w:tc>
        <w:tc>
          <w:tcPr>
            <w:tcW w:type="dxa" w:w="2592"/>
            <w:vAlign w:val="top"/>
          </w:tcPr>
          <w:p>
            <w:r>
              <w:rPr>
                <w:sz w:val="17"/>
              </w:rPr>
              <w:t>Poor field input could weaken workflow design.</w:t>
            </w:r>
          </w:p>
        </w:tc>
        <w:tc>
          <w:tcPr>
            <w:tcW w:type="dxa" w:w="2592"/>
            <w:vAlign w:val="top"/>
          </w:tcPr>
          <w:p>
            <w:r>
              <w:rPr>
                <w:sz w:val="17"/>
              </w:rPr>
              <w:t>Use short, structured workshops and validate with ride-along or dispatcher shadowing notes.</w:t>
            </w:r>
          </w:p>
        </w:tc>
      </w:tr>
    </w:tbl>
    <w:p>
      <w:pPr>
        <w:pStyle w:val="Heading1"/>
      </w:pPr>
      <w:r>
        <w:t>11. Implementation Approach, Milestones, and Ownership</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r>
              <w:rPr>
                <w:b/>
                <w:sz w:val="17"/>
              </w:rPr>
              <w:t>Milestone</w:t>
            </w:r>
          </w:p>
        </w:tc>
        <w:tc>
          <w:tcPr>
            <w:tcW w:type="dxa" w:w="2592"/>
            <w:vAlign w:val="top"/>
            <w:shd w:fill="D9EAF7"/>
          </w:tcPr>
          <w:p>
            <w:r>
              <w:rPr>
                <w:b/>
                <w:sz w:val="17"/>
              </w:rPr>
              <w:t>Owner</w:t>
            </w:r>
          </w:p>
        </w:tc>
        <w:tc>
          <w:tcPr>
            <w:tcW w:type="dxa" w:w="2592"/>
            <w:vAlign w:val="top"/>
            <w:shd w:fill="D9EAF7"/>
          </w:tcPr>
          <w:p>
            <w:r>
              <w:rPr>
                <w:b/>
                <w:sz w:val="17"/>
              </w:rPr>
              <w:t>Target Timing</w:t>
            </w:r>
          </w:p>
        </w:tc>
        <w:tc>
          <w:tcPr>
            <w:tcW w:type="dxa" w:w="2592"/>
            <w:vAlign w:val="top"/>
            <w:shd w:fill="D9EAF7"/>
          </w:tcPr>
          <w:p>
            <w:r>
              <w:rPr>
                <w:b/>
                <w:sz w:val="17"/>
              </w:rPr>
              <w:t>Notes</w:t>
            </w:r>
          </w:p>
        </w:tc>
      </w:tr>
      <w:tr>
        <w:tc>
          <w:tcPr>
            <w:tcW w:type="dxa" w:w="2592"/>
            <w:vAlign w:val="top"/>
          </w:tcPr>
          <w:p>
            <w:r>
              <w:rPr>
                <w:sz w:val="17"/>
              </w:rPr>
              <w:t>Approve discovery and assign decision body</w:t>
            </w:r>
          </w:p>
        </w:tc>
        <w:tc>
          <w:tcPr>
            <w:tcW w:type="dxa" w:w="2592"/>
            <w:vAlign w:val="top"/>
          </w:tcPr>
          <w:p>
            <w:r>
              <w:rPr>
                <w:sz w:val="17"/>
              </w:rPr>
              <w:t>Operations Steering Committee</w:t>
            </w:r>
          </w:p>
        </w:tc>
        <w:tc>
          <w:tcPr>
            <w:tcW w:type="dxa" w:w="2592"/>
            <w:vAlign w:val="top"/>
          </w:tcPr>
          <w:p>
            <w:r>
              <w:rPr>
                <w:sz w:val="17"/>
              </w:rPr>
              <w:t>Week 0</w:t>
            </w:r>
          </w:p>
        </w:tc>
        <w:tc>
          <w:tcPr>
            <w:tcW w:type="dxa" w:w="2592"/>
            <w:vAlign w:val="top"/>
          </w:tcPr>
          <w:p>
            <w:r>
              <w:rPr>
                <w:sz w:val="17"/>
              </w:rPr>
              <w:t>Approval gate for funding, participation, and decision cadence.</w:t>
            </w:r>
          </w:p>
        </w:tc>
      </w:tr>
      <w:tr>
        <w:tc>
          <w:tcPr>
            <w:tcW w:type="dxa" w:w="2592"/>
            <w:vAlign w:val="top"/>
          </w:tcPr>
          <w:p>
            <w:r>
              <w:rPr>
                <w:sz w:val="17"/>
              </w:rPr>
              <w:t>Validate baseline leakage and current-state process</w:t>
            </w:r>
          </w:p>
        </w:tc>
        <w:tc>
          <w:tcPr>
            <w:tcW w:type="dxa" w:w="2592"/>
            <w:vAlign w:val="top"/>
          </w:tcPr>
          <w:p>
            <w:r>
              <w:rPr>
                <w:sz w:val="17"/>
              </w:rPr>
              <w:t>Program lead with Finance and Field Service Ops</w:t>
            </w:r>
          </w:p>
        </w:tc>
        <w:tc>
          <w:tcPr>
            <w:tcW w:type="dxa" w:w="2592"/>
            <w:vAlign w:val="top"/>
          </w:tcPr>
          <w:p>
            <w:r>
              <w:rPr>
                <w:sz w:val="17"/>
              </w:rPr>
              <w:t>Weeks 1-2</w:t>
            </w:r>
          </w:p>
        </w:tc>
        <w:tc>
          <w:tcPr>
            <w:tcW w:type="dxa" w:w="2592"/>
            <w:vAlign w:val="top"/>
          </w:tcPr>
          <w:p>
            <w:r>
              <w:rPr>
                <w:sz w:val="17"/>
              </w:rPr>
              <w:t>Confirm rework, overtime, expedite, parts exception, and engineering interruption baseline.</w:t>
            </w:r>
          </w:p>
        </w:tc>
      </w:tr>
      <w:tr>
        <w:tc>
          <w:tcPr>
            <w:tcW w:type="dxa" w:w="2592"/>
            <w:vAlign w:val="top"/>
          </w:tcPr>
          <w:p>
            <w:r>
              <w:rPr>
                <w:sz w:val="17"/>
              </w:rPr>
              <w:t>Define intake, triage, and parts-readiness operating model</w:t>
            </w:r>
          </w:p>
        </w:tc>
        <w:tc>
          <w:tcPr>
            <w:tcW w:type="dxa" w:w="2592"/>
            <w:vAlign w:val="top"/>
          </w:tcPr>
          <w:p>
            <w:r>
              <w:rPr>
                <w:sz w:val="17"/>
              </w:rPr>
              <w:t>Field Service Ops and Planning</w:t>
            </w:r>
          </w:p>
        </w:tc>
        <w:tc>
          <w:tcPr>
            <w:tcW w:type="dxa" w:w="2592"/>
            <w:vAlign w:val="top"/>
          </w:tcPr>
          <w:p>
            <w:r>
              <w:rPr>
                <w:sz w:val="17"/>
              </w:rPr>
              <w:t>Weeks 3-4</w:t>
            </w:r>
          </w:p>
        </w:tc>
        <w:tc>
          <w:tcPr>
            <w:tcW w:type="dxa" w:w="2592"/>
            <w:vAlign w:val="top"/>
          </w:tcPr>
          <w:p>
            <w:r>
              <w:rPr>
                <w:sz w:val="17"/>
              </w:rPr>
              <w:t>Define required fields, routing rules, ownership, and exception categories.</w:t>
            </w:r>
          </w:p>
        </w:tc>
      </w:tr>
      <w:tr>
        <w:tc>
          <w:tcPr>
            <w:tcW w:type="dxa" w:w="2592"/>
            <w:vAlign w:val="top"/>
          </w:tcPr>
          <w:p>
            <w:r>
              <w:rPr>
                <w:sz w:val="17"/>
              </w:rPr>
              <w:t>Complete integration and data-quality assessment</w:t>
            </w:r>
          </w:p>
        </w:tc>
        <w:tc>
          <w:tcPr>
            <w:tcW w:type="dxa" w:w="2592"/>
            <w:vAlign w:val="top"/>
          </w:tcPr>
          <w:p>
            <w:r>
              <w:rPr>
                <w:sz w:val="17"/>
              </w:rPr>
              <w:t>Technology and Data Owners</w:t>
            </w:r>
          </w:p>
        </w:tc>
        <w:tc>
          <w:tcPr>
            <w:tcW w:type="dxa" w:w="2592"/>
            <w:vAlign w:val="top"/>
          </w:tcPr>
          <w:p>
            <w:r>
              <w:rPr>
                <w:sz w:val="17"/>
              </w:rPr>
              <w:t>Weeks 4-5</w:t>
            </w:r>
          </w:p>
        </w:tc>
        <w:tc>
          <w:tcPr>
            <w:tcW w:type="dxa" w:w="2592"/>
            <w:vAlign w:val="top"/>
          </w:tcPr>
          <w:p>
            <w:r>
              <w:rPr>
                <w:sz w:val="17"/>
              </w:rPr>
              <w:t>Validate service, ERP, inventory, and reporting assumptions.</w:t>
            </w:r>
          </w:p>
        </w:tc>
      </w:tr>
      <w:tr>
        <w:tc>
          <w:tcPr>
            <w:tcW w:type="dxa" w:w="2592"/>
            <w:vAlign w:val="top"/>
          </w:tcPr>
          <w:p>
            <w:r>
              <w:rPr>
                <w:sz w:val="17"/>
              </w:rPr>
              <w:t>Prepare pilot roadmap and implementation funding request</w:t>
            </w:r>
          </w:p>
        </w:tc>
        <w:tc>
          <w:tcPr>
            <w:tcW w:type="dxa" w:w="2592"/>
            <w:vAlign w:val="top"/>
          </w:tcPr>
          <w:p>
            <w:r>
              <w:rPr>
                <w:sz w:val="17"/>
              </w:rPr>
              <w:t>Program lead</w:t>
            </w:r>
          </w:p>
        </w:tc>
        <w:tc>
          <w:tcPr>
            <w:tcW w:type="dxa" w:w="2592"/>
            <w:vAlign w:val="top"/>
          </w:tcPr>
          <w:p>
            <w:r>
              <w:rPr>
                <w:sz w:val="17"/>
              </w:rPr>
              <w:t>Weeks 6-7</w:t>
            </w:r>
          </w:p>
        </w:tc>
        <w:tc>
          <w:tcPr>
            <w:tcW w:type="dxa" w:w="2592"/>
            <w:vAlign w:val="top"/>
          </w:tcPr>
          <w:p>
            <w:r>
              <w:rPr>
                <w:sz w:val="17"/>
              </w:rPr>
              <w:t>Include cost model, schedule, staffing, risks, and success measures.</w:t>
            </w:r>
          </w:p>
        </w:tc>
      </w:tr>
      <w:tr>
        <w:tc>
          <w:tcPr>
            <w:tcW w:type="dxa" w:w="2592"/>
            <w:vAlign w:val="top"/>
          </w:tcPr>
          <w:p>
            <w:r>
              <w:rPr>
                <w:sz w:val="17"/>
              </w:rPr>
              <w:t>Gate review and pilot authorization</w:t>
            </w:r>
          </w:p>
        </w:tc>
        <w:tc>
          <w:tcPr>
            <w:tcW w:type="dxa" w:w="2592"/>
            <w:vAlign w:val="top"/>
          </w:tcPr>
          <w:p>
            <w:r>
              <w:rPr>
                <w:sz w:val="17"/>
              </w:rPr>
              <w:t>Operations Steering Committee</w:t>
            </w:r>
          </w:p>
        </w:tc>
        <w:tc>
          <w:tcPr>
            <w:tcW w:type="dxa" w:w="2592"/>
            <w:vAlign w:val="top"/>
          </w:tcPr>
          <w:p>
            <w:r>
              <w:rPr>
                <w:sz w:val="17"/>
              </w:rPr>
              <w:t>Week 8</w:t>
            </w:r>
          </w:p>
        </w:tc>
        <w:tc>
          <w:tcPr>
            <w:tcW w:type="dxa" w:w="2592"/>
            <w:vAlign w:val="top"/>
          </w:tcPr>
          <w:p>
            <w:r>
              <w:rPr>
                <w:sz w:val="17"/>
              </w:rPr>
              <w:t>Approve, reject, defer, or request more evidence.</w:t>
            </w:r>
          </w:p>
        </w:tc>
      </w:tr>
    </w:tbl>
    <w:p>
      <w:pPr>
        <w:pStyle w:val="Heading1"/>
      </w:pPr>
      <w:r>
        <w:t>12. Governance and Success Measures</w:t>
      </w:r>
    </w:p>
    <w:p>
      <w:r>
        <w:t>Use a weekly discovery checkpoint chaired by Field Service Operations with Finance, Technology, Planning, Engineering, and regional representatives. Discovery exit criteria should include validated baseline metrics, option comparison, decision log, integration assessment, data-quality profile, pilot plan, benefits model, implementation cost range, and explicit evidence that would change the recommendation.</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r>
              <w:rPr>
                <w:b/>
                <w:sz w:val="17"/>
              </w:rPr>
              <w:t>Measure</w:t>
            </w:r>
          </w:p>
        </w:tc>
        <w:tc>
          <w:tcPr>
            <w:tcW w:type="dxa" w:w="2592"/>
            <w:vAlign w:val="top"/>
            <w:shd w:fill="D9EAF7"/>
          </w:tcPr>
          <w:p>
            <w:r>
              <w:rPr>
                <w:b/>
                <w:sz w:val="17"/>
              </w:rPr>
              <w:t>Baseline</w:t>
            </w:r>
          </w:p>
        </w:tc>
        <w:tc>
          <w:tcPr>
            <w:tcW w:type="dxa" w:w="2592"/>
            <w:vAlign w:val="top"/>
            <w:shd w:fill="D9EAF7"/>
          </w:tcPr>
          <w:p>
            <w:r>
              <w:rPr>
                <w:b/>
                <w:sz w:val="17"/>
              </w:rPr>
              <w:t>Target</w:t>
            </w:r>
          </w:p>
        </w:tc>
        <w:tc>
          <w:tcPr>
            <w:tcW w:type="dxa" w:w="2592"/>
            <w:vAlign w:val="top"/>
            <w:shd w:fill="D9EAF7"/>
          </w:tcPr>
          <w:p>
            <w:r>
              <w:rPr>
                <w:b/>
                <w:sz w:val="17"/>
              </w:rPr>
              <w:t>Review Cadence</w:t>
            </w:r>
          </w:p>
        </w:tc>
      </w:tr>
      <w:tr>
        <w:tc>
          <w:tcPr>
            <w:tcW w:type="dxa" w:w="2592"/>
            <w:vAlign w:val="top"/>
          </w:tcPr>
          <w:p>
            <w:r>
              <w:rPr>
                <w:sz w:val="17"/>
              </w:rPr>
              <w:t>Intake completeness</w:t>
            </w:r>
          </w:p>
        </w:tc>
        <w:tc>
          <w:tcPr>
            <w:tcW w:type="dxa" w:w="2592"/>
            <w:vAlign w:val="top"/>
          </w:tcPr>
          <w:p>
            <w:r>
              <w:rPr>
                <w:sz w:val="17"/>
              </w:rPr>
              <w:t>78% complete at first submission</w:t>
            </w:r>
          </w:p>
        </w:tc>
        <w:tc>
          <w:tcPr>
            <w:tcW w:type="dxa" w:w="2592"/>
            <w:vAlign w:val="top"/>
          </w:tcPr>
          <w:p>
            <w:r>
              <w:rPr>
                <w:sz w:val="17"/>
              </w:rPr>
              <w:t>95% complete at first submission in pilot regions</w:t>
            </w:r>
          </w:p>
        </w:tc>
        <w:tc>
          <w:tcPr>
            <w:tcW w:type="dxa" w:w="2592"/>
            <w:vAlign w:val="top"/>
          </w:tcPr>
          <w:p>
            <w:r>
              <w:rPr>
                <w:sz w:val="17"/>
              </w:rPr>
              <w:t>Weekly during pilot</w:t>
            </w:r>
          </w:p>
        </w:tc>
      </w:tr>
      <w:tr>
        <w:tc>
          <w:tcPr>
            <w:tcW w:type="dxa" w:w="2592"/>
            <w:vAlign w:val="top"/>
          </w:tcPr>
          <w:p>
            <w:r>
              <w:rPr>
                <w:sz w:val="17"/>
              </w:rPr>
              <w:t>Dispatch rework</w:t>
            </w:r>
          </w:p>
        </w:tc>
        <w:tc>
          <w:tcPr>
            <w:tcW w:type="dxa" w:w="2592"/>
            <w:vAlign w:val="top"/>
          </w:tcPr>
          <w:p>
            <w:r>
              <w:rPr>
                <w:sz w:val="17"/>
              </w:rPr>
              <w:t>14% of work orders require dispatcher reclassification or follow-up</w:t>
            </w:r>
          </w:p>
        </w:tc>
        <w:tc>
          <w:tcPr>
            <w:tcW w:type="dxa" w:w="2592"/>
            <w:vAlign w:val="top"/>
          </w:tcPr>
          <w:p>
            <w:r>
              <w:rPr>
                <w:sz w:val="17"/>
              </w:rPr>
              <w:t>Below 6% in pilot regions</w:t>
            </w:r>
          </w:p>
        </w:tc>
        <w:tc>
          <w:tcPr>
            <w:tcW w:type="dxa" w:w="2592"/>
            <w:vAlign w:val="top"/>
          </w:tcPr>
          <w:p>
            <w:r>
              <w:rPr>
                <w:sz w:val="17"/>
              </w:rPr>
              <w:t>Weekly during pilot</w:t>
            </w:r>
          </w:p>
        </w:tc>
      </w:tr>
      <w:tr>
        <w:tc>
          <w:tcPr>
            <w:tcW w:type="dxa" w:w="2592"/>
            <w:vAlign w:val="top"/>
          </w:tcPr>
          <w:p>
            <w:r>
              <w:rPr>
                <w:sz w:val="17"/>
              </w:rPr>
              <w:t>Parts-readiness exceptions</w:t>
            </w:r>
          </w:p>
        </w:tc>
        <w:tc>
          <w:tcPr>
            <w:tcW w:type="dxa" w:w="2592"/>
            <w:vAlign w:val="top"/>
          </w:tcPr>
          <w:p>
            <w:r>
              <w:rPr>
                <w:sz w:val="17"/>
              </w:rPr>
              <w:t>7.6% of scheduled visits</w:t>
            </w:r>
          </w:p>
        </w:tc>
        <w:tc>
          <w:tcPr>
            <w:tcW w:type="dxa" w:w="2592"/>
            <w:vAlign w:val="top"/>
          </w:tcPr>
          <w:p>
            <w:r>
              <w:rPr>
                <w:sz w:val="17"/>
              </w:rPr>
              <w:t>Below 3.5% in pilot regions</w:t>
            </w:r>
          </w:p>
        </w:tc>
        <w:tc>
          <w:tcPr>
            <w:tcW w:type="dxa" w:w="2592"/>
            <w:vAlign w:val="top"/>
          </w:tcPr>
          <w:p>
            <w:r>
              <w:rPr>
                <w:sz w:val="17"/>
              </w:rPr>
              <w:t>Weekly during pilot</w:t>
            </w:r>
          </w:p>
        </w:tc>
      </w:tr>
      <w:tr>
        <w:tc>
          <w:tcPr>
            <w:tcW w:type="dxa" w:w="2592"/>
            <w:vAlign w:val="top"/>
          </w:tcPr>
          <w:p>
            <w:r>
              <w:rPr>
                <w:sz w:val="17"/>
              </w:rPr>
              <w:t>Engineering triage interruption</w:t>
            </w:r>
          </w:p>
        </w:tc>
        <w:tc>
          <w:tcPr>
            <w:tcW w:type="dxa" w:w="2592"/>
            <w:vAlign w:val="top"/>
          </w:tcPr>
          <w:p>
            <w:r>
              <w:rPr>
                <w:sz w:val="17"/>
              </w:rPr>
              <w:t>18 hours per week</w:t>
            </w:r>
          </w:p>
        </w:tc>
        <w:tc>
          <w:tcPr>
            <w:tcW w:type="dxa" w:w="2592"/>
            <w:vAlign w:val="top"/>
          </w:tcPr>
          <w:p>
            <w:r>
              <w:rPr>
                <w:sz w:val="17"/>
              </w:rPr>
              <w:t>Below 7 hours per week for pilot-related request types</w:t>
            </w:r>
          </w:p>
        </w:tc>
        <w:tc>
          <w:tcPr>
            <w:tcW w:type="dxa" w:w="2592"/>
            <w:vAlign w:val="top"/>
          </w:tcPr>
          <w:p>
            <w:r>
              <w:rPr>
                <w:sz w:val="17"/>
              </w:rPr>
              <w:t>Biweekly</w:t>
            </w:r>
          </w:p>
        </w:tc>
      </w:tr>
      <w:tr>
        <w:tc>
          <w:tcPr>
            <w:tcW w:type="dxa" w:w="2592"/>
            <w:vAlign w:val="top"/>
          </w:tcPr>
          <w:p>
            <w:r>
              <w:rPr>
                <w:sz w:val="17"/>
              </w:rPr>
              <w:t>Monthly avoidable leakage</w:t>
            </w:r>
          </w:p>
        </w:tc>
        <w:tc>
          <w:tcPr>
            <w:tcW w:type="dxa" w:w="2592"/>
            <w:vAlign w:val="top"/>
          </w:tcPr>
          <w:p>
            <w:r>
              <w:rPr>
                <w:sz w:val="17"/>
              </w:rPr>
              <w:t>$41,000 estimated monthly leakage</w:t>
            </w:r>
          </w:p>
        </w:tc>
        <w:tc>
          <w:tcPr>
            <w:tcW w:type="dxa" w:w="2592"/>
            <w:vAlign w:val="top"/>
          </w:tcPr>
          <w:p>
            <w:r>
              <w:rPr>
                <w:sz w:val="17"/>
              </w:rPr>
              <w:t>25%-35% reduction after pilot stabilization</w:t>
            </w:r>
          </w:p>
        </w:tc>
        <w:tc>
          <w:tcPr>
            <w:tcW w:type="dxa" w:w="2592"/>
            <w:vAlign w:val="top"/>
          </w:tcPr>
          <w:p>
            <w:r>
              <w:rPr>
                <w:sz w:val="17"/>
              </w:rPr>
              <w:t>Monthly</w:t>
            </w:r>
          </w:p>
        </w:tc>
      </w:tr>
    </w:tbl>
    <w:p>
      <w:pPr>
        <w:pStyle w:val="Heading1"/>
      </w:pPr>
      <w:r>
        <w:t>13. Scope, Stakeholders, and Next Steps</w:t>
      </w:r>
    </w:p>
    <w:p>
      <w:pPr>
        <w:pStyle w:val="Heading2"/>
      </w:pPr>
      <w:r>
        <w:t>Stakeholders</w:t>
      </w:r>
    </w:p>
    <w:p>
      <w:pPr>
        <w:pStyle w:val="ListBullet"/>
      </w:pPr>
      <w:r>
        <w:t>Field Service Operations</w:t>
      </w:r>
    </w:p>
    <w:p>
      <w:pPr>
        <w:pStyle w:val="ListBullet"/>
      </w:pPr>
      <w:r>
        <w:t>Regional dispatch managers</w:t>
      </w:r>
    </w:p>
    <w:p>
      <w:pPr>
        <w:pStyle w:val="ListBullet"/>
      </w:pPr>
      <w:r>
        <w:t>Field technicians</w:t>
      </w:r>
    </w:p>
    <w:p>
      <w:pPr>
        <w:pStyle w:val="ListBullet"/>
      </w:pPr>
      <w:r>
        <w:t>Service planning</w:t>
      </w:r>
    </w:p>
    <w:p>
      <w:pPr>
        <w:pStyle w:val="ListBullet"/>
      </w:pPr>
      <w:r>
        <w:t>Parts and inventory management</w:t>
      </w:r>
    </w:p>
    <w:p>
      <w:pPr>
        <w:pStyle w:val="ListBullet"/>
      </w:pPr>
      <w:r>
        <w:t>Engineering support</w:t>
      </w:r>
    </w:p>
    <w:p>
      <w:pPr>
        <w:pStyle w:val="ListBullet"/>
      </w:pPr>
      <w:r>
        <w:t>Technology / business systems</w:t>
      </w:r>
    </w:p>
    <w:p>
      <w:pPr>
        <w:pStyle w:val="ListBullet"/>
      </w:pPr>
      <w:r>
        <w:t>Finance</w:t>
      </w:r>
    </w:p>
    <w:p>
      <w:pPr>
        <w:pStyle w:val="ListBullet"/>
      </w:pPr>
      <w:r>
        <w:t>Customer account teams</w:t>
      </w:r>
    </w:p>
    <w:p>
      <w:pPr>
        <w:pStyle w:val="ListBullet"/>
      </w:pPr>
      <w:r>
        <w:t>Compliance and safety</w:t>
      </w:r>
    </w:p>
    <w:p>
      <w:pPr>
        <w:pStyle w:val="Heading2"/>
      </w:pPr>
      <w:r>
        <w:t>In Scope</w:t>
      </w:r>
    </w:p>
    <w:p>
      <w:pPr>
        <w:pStyle w:val="ListBullet"/>
      </w:pPr>
      <w:r>
        <w:t>Current-state process and data assessment</w:t>
      </w:r>
    </w:p>
    <w:p>
      <w:pPr>
        <w:pStyle w:val="ListBullet"/>
      </w:pPr>
      <w:r>
        <w:t>Work-order intake standardization</w:t>
      </w:r>
    </w:p>
    <w:p>
      <w:pPr>
        <w:pStyle w:val="ListBullet"/>
      </w:pPr>
      <w:r>
        <w:t>Dispatch triage model</w:t>
      </w:r>
    </w:p>
    <w:p>
      <w:pPr>
        <w:pStyle w:val="ListBullet"/>
      </w:pPr>
      <w:r>
        <w:t>Parts-readiness workflow and exception rules</w:t>
      </w:r>
    </w:p>
    <w:p>
      <w:pPr>
        <w:pStyle w:val="ListBullet"/>
      </w:pPr>
      <w:r>
        <w:t>Integration assessment for service management, ERP, and inventory systems</w:t>
      </w:r>
    </w:p>
    <w:p>
      <w:pPr>
        <w:pStyle w:val="ListBullet"/>
      </w:pPr>
      <w:r>
        <w:t>Pilot design for two regions</w:t>
      </w:r>
    </w:p>
    <w:p>
      <w:pPr>
        <w:pStyle w:val="ListBullet"/>
      </w:pPr>
      <w:r>
        <w:t>Cost-benefit model and implementation roadmap</w:t>
      </w:r>
    </w:p>
    <w:p>
      <w:pPr>
        <w:pStyle w:val="ListBullet"/>
      </w:pPr>
      <w:r>
        <w:t>Governance model for backlog, exceptions, and benefits tracking</w:t>
      </w:r>
    </w:p>
    <w:p>
      <w:pPr>
        <w:pStyle w:val="Heading2"/>
      </w:pPr>
      <w:r>
        <w:t>Out of Scope</w:t>
      </w:r>
    </w:p>
    <w:p>
      <w:pPr>
        <w:pStyle w:val="ListBullet"/>
      </w:pPr>
      <w:r>
        <w:t>Enterprise-wide ERP replacement</w:t>
      </w:r>
    </w:p>
    <w:p>
      <w:pPr>
        <w:pStyle w:val="ListBullet"/>
      </w:pPr>
      <w:r>
        <w:t>Full mobile technician app replacement</w:t>
      </w:r>
    </w:p>
    <w:p>
      <w:pPr>
        <w:pStyle w:val="ListBullet"/>
      </w:pPr>
      <w:r>
        <w:t>Automated dispatch optimization across all regions in phase 1</w:t>
      </w:r>
    </w:p>
    <w:p>
      <w:pPr>
        <w:pStyle w:val="ListBullet"/>
      </w:pPr>
      <w:r>
        <w:t>Warehouse network redesign</w:t>
      </w:r>
    </w:p>
    <w:p>
      <w:pPr>
        <w:pStyle w:val="ListBullet"/>
      </w:pPr>
      <w:r>
        <w:t>Customer portal redesign</w:t>
      </w:r>
    </w:p>
    <w:p>
      <w:pPr>
        <w:pStyle w:val="Heading2"/>
      </w:pPr>
      <w:r>
        <w:t>Next Steps</w:t>
      </w:r>
    </w:p>
    <w:p>
      <w:pPr>
        <w:pStyle w:val="ListBullet"/>
      </w:pPr>
      <w:r>
        <w:t>Confirm discovery sponsor, decision body, and funding source</w:t>
      </w:r>
    </w:p>
    <w:p>
      <w:pPr>
        <w:pStyle w:val="ListBullet"/>
      </w:pPr>
      <w:r>
        <w:t>Assign a cross-functional discovery lead and regional SMEs</w:t>
      </w:r>
    </w:p>
    <w:p>
      <w:pPr>
        <w:pStyle w:val="ListBullet"/>
      </w:pPr>
      <w:r>
        <w:t>Collect 90 days of work-order, overtime, expedite, and parts-exception data</w:t>
      </w:r>
    </w:p>
    <w:p>
      <w:pPr>
        <w:pStyle w:val="ListBullet"/>
      </w:pPr>
      <w:r>
        <w:t>Run intake-quality and parts-readiness data profiling</w:t>
      </w:r>
    </w:p>
    <w:p>
      <w:pPr>
        <w:pStyle w:val="ListBullet"/>
      </w:pPr>
      <w:r>
        <w:t>Define pilot region selection criteria</w:t>
      </w:r>
    </w:p>
    <w:p>
      <w:pPr>
        <w:pStyle w:val="ListBullet"/>
      </w:pPr>
      <w:r>
        <w:t>Prepare a discovery charter and meeting cadence</w:t>
      </w:r>
    </w:p>
    <w:p>
      <w:pPr>
        <w:pStyle w:val="Heading2"/>
      </w:pPr>
      <w:r>
        <w:t>Open Questions</w:t>
      </w:r>
    </w:p>
    <w:p>
      <w:pPr>
        <w:pStyle w:val="ListBullet"/>
      </w:pPr>
      <w:r>
        <w:t>Which service system should be the system of record for intake status during the pilot?</w:t>
      </w:r>
    </w:p>
    <w:p>
      <w:pPr>
        <w:pStyle w:val="ListBullet"/>
      </w:pPr>
      <w:r>
        <w:t>How reliable is current inventory availability data by region and warehouse?</w:t>
      </w:r>
    </w:p>
    <w:p>
      <w:pPr>
        <w:pStyle w:val="ListBullet"/>
      </w:pPr>
      <w:r>
        <w:t>What threshold of validated leakage is required to approve implementation funding?</w:t>
      </w:r>
    </w:p>
    <w:p>
      <w:pPr>
        <w:pStyle w:val="ListBullet"/>
      </w:pPr>
      <w:r>
        <w:t>Which regions are representative enough for a decision-grade pilot?</w:t>
      </w:r>
    </w:p>
    <w:p>
      <w:pPr>
        <w:pStyle w:val="ListBullet"/>
      </w:pPr>
      <w:r>
        <w:t>Who owns data-quality remediation after launch?</w:t>
      </w:r>
    </w:p>
    <w:p>
      <w:pPr>
        <w:pStyle w:val="Heading1"/>
      </w:pPr>
      <w:r>
        <w:t>14. Critical Professional Counsel</w:t>
      </w:r>
    </w:p>
    <w:p>
      <w:r>
        <w:t>Score: 56/60. Readiness: Decision-ready with caveats.</w:t>
      </w:r>
    </w:p>
    <w:p>
      <w:pPr>
        <w:pStyle w:val="Heading2"/>
      </w:pPr>
      <w:r>
        <w:t>Top Improvements</w:t>
      </w:r>
    </w:p>
    <w:p>
      <w:pPr>
        <w:pStyle w:val="ListBullet"/>
      </w:pPr>
      <w:r>
        <w:t>Problem definition: Define the business problem in operational terms: who is affected, what pain exists, how often it occurs, and why it matters now.</w:t>
      </w:r>
    </w:p>
    <w:p>
      <w:pPr>
        <w:pStyle w:val="ListBullet"/>
      </w:pPr>
      <w:r>
        <w:t>Strategic alignment: Tie the initiative to named strategy, objectives, regulatory obligations, customer outcomes, cost discipline, or risk reduction.</w:t>
      </w:r>
    </w:p>
    <w:p>
      <w:pPr>
        <w:pStyle w:val="ListBullet"/>
      </w:pPr>
      <w:r>
        <w:t>Recommendation quality: Explain why the recommended path is better than the alternatives under the stated constraints.</w:t>
      </w:r>
    </w:p>
    <w:p>
      <w:pPr>
        <w:pStyle w:val="ListBullet"/>
      </w:pPr>
      <w:r>
        <w:t>Cost and funding clarity: Separate one-time implementation costs from recurring operating costs and identify funding source where possible.</w:t>
      </w:r>
    </w:p>
    <w:p>
      <w:pPr>
        <w:pStyle w:val="ListBullet"/>
      </w:pPr>
      <w:r>
        <w:t>Decision clarity: State the approval action, decision owner, timing, and what happens immediately after approval or rejection.</w:t>
      </w:r>
    </w:p>
    <w:p>
      <w:pPr>
        <w:pStyle w:val="Heading2"/>
      </w:pPr>
      <w:r>
        <w:t>Criterion Detail</w:t>
      </w:r>
    </w:p>
    <w:p>
      <w:pPr>
        <w:pStyle w:val="Heading3"/>
      </w:pPr>
      <w:r>
        <w:t>Decision clarity: 5/5</w:t>
      </w:r>
    </w:p>
    <w:p>
      <w:r>
        <w:t>Issue: The case must make the requested leadership decision explicit.</w:t>
      </w:r>
    </w:p>
    <w:p>
      <w:r>
        <w:t>Counsel: State the approval action, decision owner, timing, and what happens immediately after approval or rejection.</w:t>
      </w:r>
    </w:p>
    <w:p>
      <w:r>
        <w:t>Evidence needed: Decision body, approval threshold, requested funding or authorization, and decision date.</w:t>
      </w:r>
    </w:p>
    <w:p>
      <w:pPr>
        <w:pStyle w:val="Heading3"/>
      </w:pPr>
      <w:r>
        <w:t>Problem definition: 4/5</w:t>
      </w:r>
    </w:p>
    <w:p>
      <w:r>
        <w:t>Issue: A vague problem statement makes every downstream option look arbitrary.</w:t>
      </w:r>
    </w:p>
    <w:p>
      <w:r>
        <w:t>Counsel: Define the business problem in operational terms: who is affected, what pain exists, how often it occurs, and why it matters now.</w:t>
      </w:r>
    </w:p>
    <w:p>
      <w:r>
        <w:t>Evidence needed: Current-state examples, incidents, lost time, cost, revenue leakage, risk exposure, or stakeholder feedback.</w:t>
      </w:r>
    </w:p>
    <w:p>
      <w:pPr>
        <w:pStyle w:val="Heading3"/>
      </w:pPr>
      <w:r>
        <w:t>Strategic alignment: 4/5</w:t>
      </w:r>
    </w:p>
    <w:p>
      <w:r>
        <w:t>Issue: The case needs to explain why this initiative belongs in the portfolio.</w:t>
      </w:r>
    </w:p>
    <w:p>
      <w:r>
        <w:t>Counsel: Tie the initiative to named strategy, objectives, regulatory obligations, customer outcomes, cost discipline, or risk reduction.</w:t>
      </w:r>
    </w:p>
    <w:p>
      <w:r>
        <w:t>Evidence needed: Strategic plan excerpts, OKRs, annual priorities, compliance drivers, customer commitments, or portfolio themes.</w:t>
      </w:r>
    </w:p>
    <w:p>
      <w:pPr>
        <w:pStyle w:val="Heading3"/>
      </w:pPr>
      <w:r>
        <w:t>Current-state evidence: 5/5</w:t>
      </w:r>
    </w:p>
    <w:p>
      <w:r>
        <w:t>Issue: Leadership will challenge the case if the pain is asserted but not evidenced.</w:t>
      </w:r>
    </w:p>
    <w:p>
      <w:r>
        <w:t>Counsel: Quantify current-state pain where possible and label any estimates as assumptions.</w:t>
      </w:r>
    </w:p>
    <w:p>
      <w:r>
        <w:t>Evidence needed: Baseline metrics, process data, financials, ticket volumes, cycle time, error rates, support load, risk events, or qualitative evidence.</w:t>
      </w:r>
    </w:p>
    <w:p>
      <w:pPr>
        <w:pStyle w:val="Heading3"/>
      </w:pPr>
      <w:r>
        <w:t>Options analysis: 5/5</w:t>
      </w:r>
    </w:p>
    <w:p>
      <w:r>
        <w:t>Issue: A single-solution case reads like advocacy rather than decision analysis.</w:t>
      </w:r>
    </w:p>
    <w:p>
      <w:r>
        <w:t>Counsel: Compare at least three options, including do nothing, with clear tradeoffs.</w:t>
      </w:r>
    </w:p>
    <w:p>
      <w:r>
        <w:t>Evidence needed: Option costs, benefits, feasibility, time-to-value, dependency, and risk notes.</w:t>
      </w:r>
    </w:p>
    <w:p>
      <w:pPr>
        <w:pStyle w:val="Heading3"/>
      </w:pPr>
      <w:r>
        <w:t>Recommendation quality: 4/5</w:t>
      </w:r>
    </w:p>
    <w:p>
      <w:r>
        <w:t>Issue: The recommendation must follow from the option analysis.</w:t>
      </w:r>
    </w:p>
    <w:p>
      <w:r>
        <w:t>Counsel: Explain why the recommended path is better than the alternatives under the stated constraints.</w:t>
      </w:r>
    </w:p>
    <w:p>
      <w:r>
        <w:t>Evidence needed: Selection criteria, weighted tradeoffs, stakeholder input, feasibility assessment, and risk-adjusted value.</w:t>
      </w:r>
    </w:p>
    <w:p>
      <w:pPr>
        <w:pStyle w:val="Heading3"/>
      </w:pPr>
      <w:r>
        <w:t>Value case: 5/5</w:t>
      </w:r>
    </w:p>
    <w:p>
      <w:r>
        <w:t>Issue: Benefits must be credible enough to justify the investment or change.</w:t>
      </w:r>
    </w:p>
    <w:p>
      <w:r>
        <w:t>Counsel: Separate hard financial benefits from qualitative, risk, compliance, productivity, and customer benefits.</w:t>
      </w:r>
    </w:p>
    <w:p>
      <w:r>
        <w:t>Evidence needed: Benefit owner, baseline, target, measurement method, confidence level, and validation plan.</w:t>
      </w:r>
    </w:p>
    <w:p>
      <w:pPr>
        <w:pStyle w:val="Heading3"/>
      </w:pPr>
      <w:r>
        <w:t>Cost and funding clarity: 4/5</w:t>
      </w:r>
    </w:p>
    <w:p>
      <w:r>
        <w:t>Issue: Missing or vague costs make approval fragile.</w:t>
      </w:r>
    </w:p>
    <w:p>
      <w:r>
        <w:t>Counsel: Separate one-time implementation costs from recurring operating costs and identify funding source where possible.</w:t>
      </w:r>
    </w:p>
    <w:p>
      <w:r>
        <w:t>Evidence needed: Labor, vendor, platform, training, support, change management, licensing, integration, and run-rate costs.</w:t>
      </w:r>
    </w:p>
    <w:p>
      <w:pPr>
        <w:pStyle w:val="Heading3"/>
      </w:pPr>
      <w:r>
        <w:t>Risk and constraint discipline: 5/5</w:t>
      </w:r>
    </w:p>
    <w:p>
      <w:r>
        <w:t>Issue: Risks, assumptions, and constraints should not be buried or softened.</w:t>
      </w:r>
    </w:p>
    <w:p>
      <w:r>
        <w:t>Counsel: Make the risk register decision-useful: impact, likelihood, mitigation, owner, and validation trigger.</w:t>
      </w:r>
    </w:p>
    <w:p>
      <w:r>
        <w:t>Evidence needed: Risk log, dependency map, compliance review, security review, vendor constraints, resource constraints, and assumption tests.</w:t>
      </w:r>
    </w:p>
    <w:p>
      <w:pPr>
        <w:pStyle w:val="Heading3"/>
      </w:pPr>
      <w:r>
        <w:t>Implementation feasibility: 5/5</w:t>
      </w:r>
    </w:p>
    <w:p>
      <w:r>
        <w:t>Issue: The business case does not need a full project plan, but it needs a credible path.</w:t>
      </w:r>
    </w:p>
    <w:p>
      <w:r>
        <w:t>Counsel: Show phases, milestones, owners, dependencies, and governance checkpoints.</w:t>
      </w:r>
    </w:p>
    <w:p>
      <w:r>
        <w:t>Evidence needed: Milestone plan, owner list, dependency map, delivery estimate, governance cadence, and readiness criteria.</w:t>
      </w:r>
    </w:p>
    <w:p>
      <w:pPr>
        <w:pStyle w:val="Heading3"/>
      </w:pPr>
      <w:r>
        <w:t>Evidence traceability: 5/5</w:t>
      </w:r>
    </w:p>
    <w:p>
      <w:r>
        <w:t>Issue: The case should distinguish what is known from what must still be validated.</w:t>
      </w:r>
    </w:p>
    <w:p>
      <w:r>
        <w:t>Counsel: Add an evidence appendix, identify source artifacts, and list open questions that could change the recommendation.</w:t>
      </w:r>
    </w:p>
    <w:p>
      <w:r>
        <w:t>Evidence needed: Named evidence artifacts, source notes, assumptions log, and unresolved decision questions.</w:t>
      </w:r>
    </w:p>
    <w:p>
      <w:pPr>
        <w:pStyle w:val="Heading3"/>
      </w:pPr>
      <w:r>
        <w:t>Executive readability: 5/5</w:t>
      </w:r>
    </w:p>
    <w:p>
      <w:r>
        <w:t>Issue: A business case must be usable by a busy decision-maker.</w:t>
      </w:r>
    </w:p>
    <w:p>
      <w:r>
        <w:t>Counsel: Keep the summary short, put the decision request near the front, and use tables for tradeoffs, risks, costs, and next steps.</w:t>
      </w:r>
    </w:p>
    <w:p>
      <w:r>
        <w:t>Evidence needed: Executive summary, decision table, option comparison, cost/benefit tables, and next-step owner list.</w:t>
      </w:r>
    </w:p>
    <w:p>
      <w:pPr>
        <w:pStyle w:val="Heading1"/>
      </w:pPr>
      <w:r>
        <w:t>15. Appendix: Evidence Summary</w:t>
      </w:r>
    </w:p>
    <w:p>
      <w:pPr>
        <w:pStyle w:val="Heading2"/>
      </w:pPr>
      <w:r>
        <w:t>baseline_metrics.csv</w:t>
      </w:r>
    </w:p>
    <w:p>
      <w:r>
        <w:rPr>
          <w:b/>
        </w:rPr>
        <w:t>Type: csv</w:t>
      </w:r>
    </w:p>
    <w:p>
      <w:r>
        <w:rPr>
          <w:sz w:val="17"/>
        </w:rPr>
        <w:t>Metric | Dummy Baseline | Notes Monthly work orders | 3,800 | Four-region average Complete intake at first submission | 78% | Based on dummy data profiling Dispatch rework / reclassification | 14% | Manual follow-up or category correction required Parts-readiness exceptions | 7.6% | Scheduled visits with parts issue or reschedule Estimated overtime / expedite / repeat-visit leakage | $41,000/month | Finance placeholder estimate Engineering triage interruption | 18 hours/week | Engineering support estimate</w:t>
      </w:r>
    </w:p>
    <w:p>
      <w:pPr>
        <w:pStyle w:val="Heading2"/>
      </w:pPr>
      <w:r>
        <w:t>dummy_cost_benefit_model.xlsx</w:t>
      </w:r>
    </w:p>
    <w:p>
      <w:r>
        <w:rPr>
          <w:b/>
        </w:rPr>
        <w:t>Type: xlsx</w:t>
      </w:r>
    </w:p>
    <w:p>
      <w:r>
        <w:rPr>
          <w:sz w:val="17"/>
        </w:rPr>
        <w:t># Sheet: Summary Field Service Modernization - Dummy Cost Benefit Model | | | | Metric | Low Case | Base Case | High Case | Annual avoidable leakage reduction | 123000 | 164000 | 205000 | Annual productivity capacity release | 92000 | 138000 | 184000 | Annual engineering interruption reduction | 36000 | 56000 | 75000 | Total annual quantified benefit | =SUM(B4:B6) | =SUM(C4:C6) | =SUM(D4:D6) | Estimated implementation investment | 525000 | 625000 | 725000 | Simple payback months | =B8/B7*12 | =C8/C7*12 | =D8/D7*12 | Decision note | Low confidence until discovery validates baseline | Recommended planning case | Requires stronger adoption and leakage proof | Source | Dummy model | Dummy model...</w:t>
      </w:r>
    </w:p>
    <w:p>
      <w:pPr>
        <w:pStyle w:val="Heading2"/>
      </w:pPr>
      <w:r>
        <w:t>field_service_manager_notes.md</w:t>
      </w:r>
    </w:p>
    <w:p>
      <w:r>
        <w:rPr>
          <w:b/>
        </w:rPr>
        <w:t>Type: md</w:t>
      </w:r>
    </w:p>
    <w:p>
      <w:r>
        <w:rPr>
          <w:sz w:val="17"/>
        </w:rPr>
        <w:t># Field Service Manager Notes Dummy discovery notes collected for sample-business-case demonstration only. - Dispatch managers report inconsistent intake across email, ticket forms, and phone requests. - Common missing data: asset ID, failure symptom, site access constraints, prior repair attempt, urgency rationale, and parts already on hand. - Planners report that scheduled visits are sometimes released before parts status is confirmed. - Engineers estimate avoidable triage interruptions of roughly 18 hours per week, mostly to clarify symptoms or site configuration. - Regional managers want a weekly exception view rather than separate spreadsheet reconciliation.</w:t>
      </w:r>
    </w:p>
    <w:p>
      <w:pPr>
        <w:pStyle w:val="Heading2"/>
      </w:pPr>
      <w:r>
        <w:t>option_comparison.csv</w:t>
      </w:r>
    </w:p>
    <w:p>
      <w:r>
        <w:rPr>
          <w:b/>
        </w:rPr>
        <w:t>Type: csv</w:t>
      </w:r>
    </w:p>
    <w:p>
      <w:r>
        <w:rPr>
          <w:sz w:val="17"/>
        </w:rPr>
        <w:t>Option | Estimated Cost | Speed | Risk | Comment Do nothing | $0 direct | Immediate | High operating leakage | No process improvement Policy-only standardization | $25k-$45k | Fast | Medium-high adoption risk | Manual behavior change only Governed workflow modernization | $525k-$725k after discovery | Moderate | Medium | Recommended Full platform replacement | $1.8M-$3.2M | Slow | High delivery and adoption risk | Premature without stronger baseline</w:t>
      </w:r>
    </w:p>
    <w:p>
      <w:pPr>
        <w:pStyle w:val="Heading2"/>
      </w:pPr>
      <w:r>
        <w:t>pilot_plan.csv</w:t>
      </w:r>
    </w:p>
    <w:p>
      <w:r>
        <w:rPr>
          <w:b/>
        </w:rPr>
        <w:t>Type: csv</w:t>
      </w:r>
    </w:p>
    <w:p>
      <w:r>
        <w:rPr>
          <w:sz w:val="17"/>
        </w:rPr>
        <w:t>Milestone | Owner | Target | Exit Evidence Discovery approval | Operations Steering Committee | Week 0 | Funding and decision body confirmed Baseline validation | Finance + Field Service Ops | Week 2 | Metric baseline and cost leakage model Operating model design | Field Service Ops | Week 4 | Required fields, triage rules, parts exception model Technical assessment | Technology | Week 5 | Integration and data-quality findings Pilot funding request | Program Lead | Week 7 | Implementation case and gate package Gate review | Steering Committee | Week 8 | Approve / reject / defer decision</w:t>
      </w:r>
    </w:p>
    <w:p>
      <w:pPr>
        <w:pStyle w:val="Heading2"/>
      </w:pPr>
      <w:r>
        <w:t>risks_assumptions_constraints.csv</w:t>
      </w:r>
    </w:p>
    <w:p>
      <w:r>
        <w:rPr>
          <w:b/>
        </w:rPr>
        <w:t>Type: csv</w:t>
      </w:r>
    </w:p>
    <w:p>
      <w:r>
        <w:rPr>
          <w:sz w:val="17"/>
        </w:rPr>
        <w:t>Type | Item | Impact | Mitigation or Validation Risk | Tool-first solution | May not solve operating model gap | Require process and governance design before funding Risk | Regional adoption varies | Benefits may not scale | Use two-region pilot with weekly adoption metrics Assumption | Leakage baseline is material | Weakens ROI if lower | Validate 90 days of operational and finance data Constraint | Peak season capacity | Schedule pressure | Complete discovery before Q3 lock</w:t>
      </w:r>
    </w:p>
    <w:p>
      <w:pPr>
        <w:pStyle w:val="Heading2"/>
      </w:pPr>
      <w:r>
        <w:t>stakeholder_interview_extracts.docx</w:t>
      </w:r>
    </w:p>
    <w:p>
      <w:r>
        <w:rPr>
          <w:b/>
        </w:rPr>
        <w:t>Type: docx</w:t>
      </w:r>
    </w:p>
    <w:p>
      <w:r>
        <w:rPr>
          <w:sz w:val="17"/>
        </w:rPr>
        <w:t>Stakeholder Interview Extracts Dummy source artifact for the Field Service Dispatch and Parts Readiness Modernization sample business case. Interview Themes Dispatch teams want fewer incomplete work orders and clearer escalation criteria. Technicians want better pre-visit information and fewer parts-related reschedules. Engineering wants to reduce avoidable triage caused by missing intake context. Finance wants validated baseline leakage before approving implementation funding. Technology prefers using existing service and ERP platforms before considering replacement. Representative Dummy Quotes Stakeholder | Dummy quote Regional Dispatch Manager | We lose time correcting work-order categori...</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