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Business Case: Field Service Dispatch and Parts Readiness Modernization</w:t>
      </w:r>
    </w:p>
    <w:p>
      <w:r/>
      <w:r>
        <w:rPr>
          <w:b/>
        </w:rPr>
        <w:t>Prepared for:</w:t>
      </w:r>
      <w:r>
        <w:t xml:space="preserve"> COO and CFO</w:t>
      </w:r>
    </w:p>
    <w:p>
      <w:r/>
      <w:r>
        <w:rPr>
          <w:b/>
        </w:rPr>
        <w:t>Prepared by:</w:t>
      </w:r>
      <w:r>
        <w:t xml:space="preserve"> Business Operations PMO</w:t>
      </w:r>
    </w:p>
    <w:p>
      <w:r/>
      <w:r>
        <w:rPr>
          <w:b/>
        </w:rPr>
        <w:t>Date:</w:t>
      </w:r>
      <w:r>
        <w:t xml:space="preserve"> 2026-05-27</w:t>
      </w:r>
    </w:p>
    <w:p>
      <w:r/>
      <w:r>
        <w:rPr>
          <w:b/>
        </w:rPr>
        <w:t>Version:</w:t>
      </w:r>
      <w:r>
        <w:t xml:space="preserve"> Fictional sample</w:t>
      </w:r>
    </w:p>
    <w:p>
      <w:r/>
      <w:r>
        <w:rPr>
          <w:b/>
        </w:rPr>
        <w:t>Classification:</w:t>
      </w:r>
      <w:r>
        <w:t xml:space="preserve"> Public-safe synthetic example</w:t>
      </w:r>
    </w:p>
    <w:p>
      <w:pPr>
        <w:pStyle w:val="Heading1"/>
      </w:pPr>
      <w:r>
        <w:t>Executive Summary</w:t>
      </w:r>
    </w:p>
    <w:p>
      <w:r>
        <w:t>Field service productivity is being reduced by a readiness gap between dispatch scheduling, parts availability, and technician route planning. Based on the fictional planning data supplied for this sample, 120 technicians lose an estimated 6.5 productive hours per technician per month, while 18% of work orders require emergency rescheduling and 14% are delayed by parts-readiness failures.</w:t>
      </w:r>
    </w:p>
    <w:p>
      <w:r>
        <w:t>The recommended path is a phased dispatch and parts readiness modernization program. The program should begin with a 90-day readiness pilot across three service territories, then scale only after the organization validates the baseline, confirms integration complexity, and proves adoption by dispatch supervisors and field managers.</w:t>
      </w:r>
    </w:p>
    <w:p>
      <w:r>
        <w:t>The estimated investment is $620,000 in one-time cost plus $180,000 in annual recurring cost. The hard benefit model estimates $1.25 million in annual benefit from recovered technician productivity and avoided reschedule premium. Under the base case, payback is approximately 7 months after launch. This is a planning estimate, not a finance-validated forecast.</w:t>
      </w:r>
    </w:p>
    <w:p>
      <w:r>
        <w:t>The primary risk is that work-order, inventory, and scheduling data quality may be weaker than assumed. If the data cannot reliably support a readiness signal, the initiative would require additional process remediation before full rollout. The mitigation is to perform a four-week data and workflow validation before vendor configuration or enterprise rollout.</w:t>
      </w:r>
    </w:p>
    <w:p>
      <w:r>
        <w:t>The decision requested is approval from the COO and CFO by June 30, 2026 to fund Phase 1 and authorize the 90-day pilot. Delaying the decision past that date would push benefit realization into the next planning cycle and prolong the current productivity leakage.</w:t>
      </w:r>
    </w:p>
    <w:p>
      <w:pPr>
        <w:pStyle w:val="Heading1"/>
      </w:pPr>
      <w:r>
        <w:t>1. Problem Statement and Business Need</w:t>
      </w:r>
    </w:p>
    <w:p>
      <w:pPr>
        <w:pStyle w:val="Heading2"/>
      </w:pPr>
      <w:r>
        <w:t>Observable Symptoms</w:t>
      </w:r>
    </w:p>
    <w:p>
      <w:r>
        <w:t>Dispatch assignments are often made before parts readiness and travel sequencing are confirmed. The result is avoidable technician downtime, rescheduled visits, supervisor rework, and inconsistent customer commitments.</w:t>
      </w:r>
    </w:p>
    <w:p>
      <w:pPr>
        <w:pStyle w:val="Heading2"/>
      </w:pPr>
      <w:r>
        <w:t>Root Cause Analysis</w:t>
      </w:r>
    </w:p>
    <w:p>
      <w:r>
        <w:t>The working root-cause hypothesis is not simply that the current tools are inadequate. The deeper issue is that scheduling, inventory readiness, and route planning are governed as separate workflows. No single readiness signal exists before dispatch commitment.</w:t>
      </w:r>
    </w:p>
    <w:p>
      <w:pPr>
        <w:pStyle w:val="Heading2"/>
      </w:pPr>
      <w:r>
        <w:t>Quantified Impact of Status Quo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6"/>
              </w:rPr>
              <w:t>Metric</w:t>
            </w:r>
          </w:p>
        </w:tc>
        <w:tc>
          <w:tcPr>
            <w:tcW w:type="dxa" w:w="3408"/>
            <w:shd w:fill="D9EAF7"/>
          </w:tcPr>
          <w:p>
            <w:r>
              <w:rPr>
                <w:b/>
                <w:sz w:val="16"/>
              </w:rPr>
              <w:t>Current Value</w:t>
            </w:r>
          </w:p>
        </w:tc>
        <w:tc>
          <w:tcPr>
            <w:tcW w:type="dxa" w:w="3408"/>
            <w:shd w:fill="D9EAF7"/>
          </w:tcPr>
          <w:p>
            <w:r>
              <w:rPr>
                <w:b/>
                <w:sz w:val="16"/>
              </w:rPr>
              <w:t>Basis / Assumption</w:t>
            </w:r>
          </w:p>
        </w:tc>
      </w:tr>
      <w:tr>
        <w:tc>
          <w:tcPr>
            <w:tcW w:type="dxa" w:w="3408"/>
            <w:vAlign w:val="top"/>
          </w:tcPr>
          <w:p>
            <w:r>
              <w:rPr>
                <w:sz w:val="16"/>
              </w:rPr>
              <w:t>Field technicians</w:t>
            </w:r>
          </w:p>
        </w:tc>
        <w:tc>
          <w:tcPr>
            <w:tcW w:type="dxa" w:w="3408"/>
            <w:vAlign w:val="top"/>
          </w:tcPr>
          <w:p>
            <w:r>
              <w:rPr>
                <w:sz w:val="16"/>
              </w:rPr>
              <w:t>120</w:t>
            </w:r>
          </w:p>
        </w:tc>
        <w:tc>
          <w:tcPr>
            <w:tcW w:type="dxa" w:w="3408"/>
            <w:vAlign w:val="top"/>
          </w:tcPr>
          <w:p>
            <w:r>
              <w:rPr>
                <w:sz w:val="16"/>
              </w:rPr>
              <w:t>Planning assumption</w:t>
            </w:r>
          </w:p>
        </w:tc>
      </w:tr>
      <w:tr>
        <w:tc>
          <w:tcPr>
            <w:tcW w:type="dxa" w:w="3408"/>
            <w:vAlign w:val="top"/>
          </w:tcPr>
          <w:p>
            <w:r>
              <w:rPr>
                <w:sz w:val="16"/>
              </w:rPr>
              <w:t>Lost productive hours / technician / month</w:t>
            </w:r>
          </w:p>
        </w:tc>
        <w:tc>
          <w:tcPr>
            <w:tcW w:type="dxa" w:w="3408"/>
            <w:vAlign w:val="top"/>
          </w:tcPr>
          <w:p>
            <w:r>
              <w:rPr>
                <w:sz w:val="16"/>
              </w:rPr>
              <w:t>6.5</w:t>
            </w:r>
          </w:p>
        </w:tc>
        <w:tc>
          <w:tcPr>
            <w:tcW w:type="dxa" w:w="3408"/>
            <w:vAlign w:val="top"/>
          </w:tcPr>
          <w:p>
            <w:r>
              <w:rPr>
                <w:sz w:val="16"/>
              </w:rPr>
              <w:t>Directional operations estimate</w:t>
            </w:r>
          </w:p>
        </w:tc>
      </w:tr>
      <w:tr>
        <w:tc>
          <w:tcPr>
            <w:tcW w:type="dxa" w:w="3408"/>
            <w:vAlign w:val="top"/>
          </w:tcPr>
          <w:p>
            <w:r>
              <w:rPr>
                <w:sz w:val="16"/>
              </w:rPr>
              <w:t>Loaded labor rate</w:t>
            </w:r>
          </w:p>
        </w:tc>
        <w:tc>
          <w:tcPr>
            <w:tcW w:type="dxa" w:w="3408"/>
            <w:vAlign w:val="top"/>
          </w:tcPr>
          <w:p>
            <w:r>
              <w:rPr>
                <w:sz w:val="16"/>
              </w:rPr>
              <w:t>$82/hour</w:t>
            </w:r>
          </w:p>
        </w:tc>
        <w:tc>
          <w:tcPr>
            <w:tcW w:type="dxa" w:w="3408"/>
            <w:vAlign w:val="top"/>
          </w:tcPr>
          <w:p>
            <w:r>
              <w:rPr>
                <w:sz w:val="16"/>
              </w:rPr>
              <w:t>Planning assumption</w:t>
            </w:r>
          </w:p>
        </w:tc>
      </w:tr>
      <w:tr>
        <w:tc>
          <w:tcPr>
            <w:tcW w:type="dxa" w:w="3408"/>
            <w:vAlign w:val="top"/>
          </w:tcPr>
          <w:p>
            <w:r>
              <w:rPr>
                <w:sz w:val="16"/>
              </w:rPr>
              <w:t>Emergency reschedule rate</w:t>
            </w:r>
          </w:p>
        </w:tc>
        <w:tc>
          <w:tcPr>
            <w:tcW w:type="dxa" w:w="3408"/>
            <w:vAlign w:val="top"/>
          </w:tcPr>
          <w:p>
            <w:r>
              <w:rPr>
                <w:sz w:val="16"/>
              </w:rPr>
              <w:t>18%</w:t>
            </w:r>
          </w:p>
        </w:tc>
        <w:tc>
          <w:tcPr>
            <w:tcW w:type="dxa" w:w="3408"/>
            <w:vAlign w:val="top"/>
          </w:tcPr>
          <w:p>
            <w:r>
              <w:rPr>
                <w:sz w:val="16"/>
              </w:rPr>
              <w:t>Sample operations note</w:t>
            </w:r>
          </w:p>
        </w:tc>
      </w:tr>
      <w:tr>
        <w:tc>
          <w:tcPr>
            <w:tcW w:type="dxa" w:w="3408"/>
            <w:vAlign w:val="top"/>
          </w:tcPr>
          <w:p>
            <w:r>
              <w:rPr>
                <w:sz w:val="16"/>
              </w:rPr>
              <w:t>Parts-not-ready delay rate</w:t>
            </w:r>
          </w:p>
        </w:tc>
        <w:tc>
          <w:tcPr>
            <w:tcW w:type="dxa" w:w="3408"/>
            <w:vAlign w:val="top"/>
          </w:tcPr>
          <w:p>
            <w:r>
              <w:rPr>
                <w:sz w:val="16"/>
              </w:rPr>
              <w:t>14%</w:t>
            </w:r>
          </w:p>
        </w:tc>
        <w:tc>
          <w:tcPr>
            <w:tcW w:type="dxa" w:w="3408"/>
            <w:vAlign w:val="top"/>
          </w:tcPr>
          <w:p>
            <w:r>
              <w:rPr>
                <w:sz w:val="16"/>
              </w:rPr>
              <w:t>Sample operations note</w:t>
            </w:r>
          </w:p>
        </w:tc>
      </w:tr>
    </w:tbl>
    <w:p/>
    <w:p>
      <w:pPr>
        <w:pStyle w:val="Heading2"/>
      </w:pPr>
      <w:r>
        <w:t>Scope Definition</w:t>
      </w:r>
    </w:p>
    <w:p>
      <w:r/>
      <w:r>
        <w:rPr>
          <w:b/>
        </w:rPr>
        <w:t>In scope:</w:t>
      </w:r>
      <w:r>
        <w:t xml:space="preserve"> dispatch readiness signal, work-order readiness rules, supervisor workflow, parts-status visibility, three-territory pilot, rollout governance.</w:t>
      </w:r>
    </w:p>
    <w:p>
      <w:r/>
      <w:r>
        <w:rPr>
          <w:b/>
        </w:rPr>
        <w:t>Out of scope:</w:t>
      </w:r>
      <w:r>
        <w:t xml:space="preserve"> full ERP replacement, workforce reduction, fleet-routing replacement, customer billing redesign.</w:t>
      </w:r>
    </w:p>
    <w:p>
      <w:pPr>
        <w:pStyle w:val="Heading2"/>
      </w:pPr>
      <w:r>
        <w:t>Urgency Drivers</w:t>
      </w:r>
    </w:p>
    <w:p>
      <w:r>
        <w:t>The issue now affects productivity, customer promise reliability, and supervisor workload. If not addressed before the next annual operating cycle, the company will continue funding avoidable productivity leakage without a clear owner or control point.</w:t>
      </w:r>
    </w:p>
    <w:p>
      <w:pPr>
        <w:pStyle w:val="Heading1"/>
      </w:pPr>
      <w:r>
        <w:t>2. Strategic Alignment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6"/>
              </w:rPr>
              <w:t>Organizational Priority</w:t>
            </w:r>
          </w:p>
        </w:tc>
        <w:tc>
          <w:tcPr>
            <w:tcW w:type="dxa" w:w="5112"/>
            <w:shd w:fill="D9EAF7"/>
          </w:tcPr>
          <w:p>
            <w:r>
              <w:rPr>
                <w:b/>
                <w:sz w:val="16"/>
              </w:rPr>
              <w:t>Connection to This Initiative</w:t>
            </w:r>
          </w:p>
        </w:tc>
      </w:tr>
      <w:tr>
        <w:tc>
          <w:tcPr>
            <w:tcW w:type="dxa" w:w="5112"/>
            <w:vAlign w:val="top"/>
          </w:tcPr>
          <w:p>
            <w:r>
              <w:rPr>
                <w:sz w:val="16"/>
              </w:rPr>
              <w:t>Improve field productivity</w:t>
            </w:r>
          </w:p>
        </w:tc>
        <w:tc>
          <w:tcPr>
            <w:tcW w:type="dxa" w:w="5112"/>
            <w:vAlign w:val="top"/>
          </w:tcPr>
          <w:p>
            <w:r>
              <w:rPr>
                <w:sz w:val="16"/>
              </w:rPr>
              <w:t>Reduces avoidable downtime and rescheduling caused by readiness gaps.</w:t>
            </w:r>
          </w:p>
        </w:tc>
      </w:tr>
      <w:tr>
        <w:tc>
          <w:tcPr>
            <w:tcW w:type="dxa" w:w="5112"/>
            <w:vAlign w:val="top"/>
          </w:tcPr>
          <w:p>
            <w:r>
              <w:rPr>
                <w:sz w:val="16"/>
              </w:rPr>
              <w:t>Improve customer reliability</w:t>
            </w:r>
          </w:p>
        </w:tc>
        <w:tc>
          <w:tcPr>
            <w:tcW w:type="dxa" w:w="5112"/>
            <w:vAlign w:val="top"/>
          </w:tcPr>
          <w:p>
            <w:r>
              <w:rPr>
                <w:sz w:val="16"/>
              </w:rPr>
              <w:t>Reduces missed or rescheduled service commitments.</w:t>
            </w:r>
          </w:p>
        </w:tc>
      </w:tr>
      <w:tr>
        <w:tc>
          <w:tcPr>
            <w:tcW w:type="dxa" w:w="5112"/>
            <w:vAlign w:val="top"/>
          </w:tcPr>
          <w:p>
            <w:r>
              <w:rPr>
                <w:sz w:val="16"/>
              </w:rPr>
              <w:t>Increase operating discipline</w:t>
            </w:r>
          </w:p>
        </w:tc>
        <w:tc>
          <w:tcPr>
            <w:tcW w:type="dxa" w:w="5112"/>
            <w:vAlign w:val="top"/>
          </w:tcPr>
          <w:p>
            <w:r>
              <w:rPr>
                <w:sz w:val="16"/>
              </w:rPr>
              <w:t>Creates a readiness gate before dispatch commitment.</w:t>
            </w:r>
          </w:p>
        </w:tc>
      </w:tr>
      <w:tr>
        <w:tc>
          <w:tcPr>
            <w:tcW w:type="dxa" w:w="5112"/>
            <w:vAlign w:val="top"/>
          </w:tcPr>
          <w:p>
            <w:r>
              <w:rPr>
                <w:sz w:val="16"/>
              </w:rPr>
              <w:t>Improve technology-enabled operations</w:t>
            </w:r>
          </w:p>
        </w:tc>
        <w:tc>
          <w:tcPr>
            <w:tcW w:type="dxa" w:w="5112"/>
            <w:vAlign w:val="top"/>
          </w:tcPr>
          <w:p>
            <w:r>
              <w:rPr>
                <w:sz w:val="16"/>
              </w:rPr>
              <w:t>Uses systems integration to support an operational control point, not technology for its own sake.</w:t>
            </w:r>
          </w:p>
        </w:tc>
      </w:tr>
    </w:tbl>
    <w:p/>
    <w:p>
      <w:pPr>
        <w:pStyle w:val="Heading1"/>
      </w:pPr>
      <w:r>
        <w:t>3. Current State Assessment</w:t>
      </w:r>
    </w:p>
    <w:p>
      <w:pPr>
        <w:pStyle w:val="Heading2"/>
      </w:pPr>
      <w:r>
        <w:t>Baseline Performance Metrics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sz w:val="16"/>
              </w:rPr>
              <w:t>Metric</w:t>
            </w:r>
          </w:p>
        </w:tc>
        <w:tc>
          <w:tcPr>
            <w:tcW w:type="dxa" w:w="2556"/>
            <w:shd w:fill="D9EAF7"/>
          </w:tcPr>
          <w:p>
            <w:r>
              <w:rPr>
                <w:b/>
                <w:sz w:val="16"/>
              </w:rPr>
              <w:t>Current Value</w:t>
            </w:r>
          </w:p>
        </w:tc>
        <w:tc>
          <w:tcPr>
            <w:tcW w:type="dxa" w:w="2556"/>
            <w:shd w:fill="D9EAF7"/>
          </w:tcPr>
          <w:p>
            <w:r>
              <w:rPr>
                <w:b/>
                <w:sz w:val="16"/>
              </w:rPr>
              <w:t>Target</w:t>
            </w:r>
          </w:p>
        </w:tc>
        <w:tc>
          <w:tcPr>
            <w:tcW w:type="dxa" w:w="2556"/>
            <w:shd w:fill="D9EAF7"/>
          </w:tcPr>
          <w:p>
            <w:r>
              <w:rPr>
                <w:b/>
                <w:sz w:val="16"/>
              </w:rPr>
              <w:t>Gap</w:t>
            </w:r>
          </w:p>
        </w:tc>
      </w:tr>
      <w:tr>
        <w:tc>
          <w:tcPr>
            <w:tcW w:type="dxa" w:w="2556"/>
            <w:vAlign w:val="top"/>
          </w:tcPr>
          <w:p>
            <w:r>
              <w:rPr>
                <w:sz w:val="16"/>
              </w:rPr>
              <w:t>Productive hours lost / technician / month</w:t>
            </w:r>
          </w:p>
        </w:tc>
        <w:tc>
          <w:tcPr>
            <w:tcW w:type="dxa" w:w="2556"/>
            <w:vAlign w:val="top"/>
          </w:tcPr>
          <w:p>
            <w:r>
              <w:rPr>
                <w:sz w:val="16"/>
              </w:rPr>
              <w:t>6.5</w:t>
            </w:r>
          </w:p>
        </w:tc>
        <w:tc>
          <w:tcPr>
            <w:tcW w:type="dxa" w:w="2556"/>
            <w:vAlign w:val="top"/>
          </w:tcPr>
          <w:p>
            <w:r>
              <w:rPr>
                <w:sz w:val="16"/>
              </w:rPr>
              <w:t>2.0</w:t>
            </w:r>
          </w:p>
        </w:tc>
        <w:tc>
          <w:tcPr>
            <w:tcW w:type="dxa" w:w="2556"/>
            <w:vAlign w:val="top"/>
          </w:tcPr>
          <w:p>
            <w:r>
              <w:rPr>
                <w:sz w:val="16"/>
              </w:rPr>
              <w:t>4.5</w:t>
            </w:r>
          </w:p>
        </w:tc>
      </w:tr>
      <w:tr>
        <w:tc>
          <w:tcPr>
            <w:tcW w:type="dxa" w:w="2556"/>
            <w:vAlign w:val="top"/>
          </w:tcPr>
          <w:p>
            <w:r>
              <w:rPr>
                <w:sz w:val="16"/>
              </w:rPr>
              <w:t>Emergency reschedule rate</w:t>
            </w:r>
          </w:p>
        </w:tc>
        <w:tc>
          <w:tcPr>
            <w:tcW w:type="dxa" w:w="2556"/>
            <w:vAlign w:val="top"/>
          </w:tcPr>
          <w:p>
            <w:r>
              <w:rPr>
                <w:sz w:val="16"/>
              </w:rPr>
              <w:t>18%</w:t>
            </w:r>
          </w:p>
        </w:tc>
        <w:tc>
          <w:tcPr>
            <w:tcW w:type="dxa" w:w="2556"/>
            <w:vAlign w:val="top"/>
          </w:tcPr>
          <w:p>
            <w:r>
              <w:rPr>
                <w:sz w:val="16"/>
              </w:rPr>
              <w:t>8%</w:t>
            </w:r>
          </w:p>
        </w:tc>
        <w:tc>
          <w:tcPr>
            <w:tcW w:type="dxa" w:w="2556"/>
            <w:vAlign w:val="top"/>
          </w:tcPr>
          <w:p>
            <w:r>
              <w:rPr>
                <w:sz w:val="16"/>
              </w:rPr>
              <w:t>10 points</w:t>
            </w:r>
          </w:p>
        </w:tc>
      </w:tr>
      <w:tr>
        <w:tc>
          <w:tcPr>
            <w:tcW w:type="dxa" w:w="2556"/>
            <w:vAlign w:val="top"/>
          </w:tcPr>
          <w:p>
            <w:r>
              <w:rPr>
                <w:sz w:val="16"/>
              </w:rPr>
              <w:t>Parts-not-ready delay rate</w:t>
            </w:r>
          </w:p>
        </w:tc>
        <w:tc>
          <w:tcPr>
            <w:tcW w:type="dxa" w:w="2556"/>
            <w:vAlign w:val="top"/>
          </w:tcPr>
          <w:p>
            <w:r>
              <w:rPr>
                <w:sz w:val="16"/>
              </w:rPr>
              <w:t>14%</w:t>
            </w:r>
          </w:p>
        </w:tc>
        <w:tc>
          <w:tcPr>
            <w:tcW w:type="dxa" w:w="2556"/>
            <w:vAlign w:val="top"/>
          </w:tcPr>
          <w:p>
            <w:r>
              <w:rPr>
                <w:sz w:val="16"/>
              </w:rPr>
              <w:t>5%</w:t>
            </w:r>
          </w:p>
        </w:tc>
        <w:tc>
          <w:tcPr>
            <w:tcW w:type="dxa" w:w="2556"/>
            <w:vAlign w:val="top"/>
          </w:tcPr>
          <w:p>
            <w:r>
              <w:rPr>
                <w:sz w:val="16"/>
              </w:rPr>
              <w:t>9 points</w:t>
            </w:r>
          </w:p>
        </w:tc>
      </w:tr>
    </w:tbl>
    <w:p/>
    <w:p>
      <w:pPr>
        <w:pStyle w:val="Heading2"/>
      </w:pPr>
      <w:r>
        <w:t>Identified Gaps</w:t>
      </w:r>
    </w:p>
    <w:p>
      <w:pPr>
        <w:pStyle w:val="ListBullet"/>
      </w:pPr>
      <w:r>
        <w:t>Dispatch scheduling does not consistently validate parts readiness before commitment.</w:t>
      </w:r>
    </w:p>
    <w:p>
      <w:pPr>
        <w:pStyle w:val="ListBullet"/>
      </w:pPr>
      <w:r>
        <w:t>Supervisors rely on side spreadsheets to reconcile readiness.</w:t>
      </w:r>
    </w:p>
    <w:p>
      <w:pPr>
        <w:pStyle w:val="ListBullet"/>
      </w:pPr>
      <w:r>
        <w:t>Inventory status and scheduling decisions are not connected in a single operational signal.</w:t>
      </w:r>
    </w:p>
    <w:p>
      <w:pPr>
        <w:pStyle w:val="ListBullet"/>
      </w:pPr>
      <w:r>
        <w:t>Current governance does not define who can override readiness rules or under what conditions.</w:t>
      </w:r>
    </w:p>
    <w:p>
      <w:pPr>
        <w:pStyle w:val="Heading2"/>
      </w:pPr>
      <w:r>
        <w:t>Evidence Sources and Limitations</w:t>
      </w:r>
    </w:p>
    <w:p>
      <w:r>
        <w:t>The sample uses fictional operations notes, a sample benefits/costs CSV, and a sample risk log. The values should be treated as planning assumptions until validated against actual work-order history, inventory data, dispatch logs, and finance-approved loaded labor rates.</w:t>
      </w:r>
    </w:p>
    <w:p>
      <w:pPr>
        <w:pStyle w:val="Heading1"/>
      </w:pPr>
      <w:r>
        <w:t>4. Options Analysis</w:t>
      </w:r>
    </w:p>
    <w:p>
      <w:pPr>
        <w:pStyle w:val="Heading2"/>
      </w:pPr>
      <w:r>
        <w:t>Evaluation Criteria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6"/>
              </w:rPr>
              <w:t>Criterion</w:t>
            </w:r>
          </w:p>
        </w:tc>
        <w:tc>
          <w:tcPr>
            <w:tcW w:type="dxa" w:w="3408"/>
            <w:shd w:fill="D9EAF7"/>
          </w:tcPr>
          <w:p>
            <w:r>
              <w:rPr>
                <w:b/>
                <w:sz w:val="16"/>
              </w:rPr>
              <w:t>Weight</w:t>
            </w:r>
          </w:p>
        </w:tc>
        <w:tc>
          <w:tcPr>
            <w:tcW w:type="dxa" w:w="3408"/>
            <w:shd w:fill="D9EAF7"/>
          </w:tcPr>
          <w:p>
            <w:r>
              <w:rPr>
                <w:b/>
                <w:sz w:val="16"/>
              </w:rPr>
              <w:t>Rationale</w:t>
            </w:r>
          </w:p>
        </w:tc>
      </w:tr>
      <w:tr>
        <w:tc>
          <w:tcPr>
            <w:tcW w:type="dxa" w:w="3408"/>
            <w:vAlign w:val="top"/>
          </w:tcPr>
          <w:p>
            <w:r>
              <w:rPr>
                <w:sz w:val="16"/>
              </w:rPr>
              <w:t>Speed to value</w:t>
            </w:r>
          </w:p>
        </w:tc>
        <w:tc>
          <w:tcPr>
            <w:tcW w:type="dxa" w:w="3408"/>
            <w:vAlign w:val="top"/>
          </w:tcPr>
          <w:p>
            <w:r>
              <w:rPr>
                <w:sz w:val="16"/>
              </w:rPr>
              <w:t>High</w:t>
            </w:r>
          </w:p>
        </w:tc>
        <w:tc>
          <w:tcPr>
            <w:tcW w:type="dxa" w:w="3408"/>
            <w:vAlign w:val="top"/>
          </w:tcPr>
          <w:p>
            <w:r>
              <w:rPr>
                <w:sz w:val="16"/>
              </w:rPr>
              <w:t>Productivity leakage is already active.</w:t>
            </w:r>
          </w:p>
        </w:tc>
      </w:tr>
      <w:tr>
        <w:tc>
          <w:tcPr>
            <w:tcW w:type="dxa" w:w="3408"/>
            <w:vAlign w:val="top"/>
          </w:tcPr>
          <w:p>
            <w:r>
              <w:rPr>
                <w:sz w:val="16"/>
              </w:rPr>
              <w:t>Financial return</w:t>
            </w:r>
          </w:p>
        </w:tc>
        <w:tc>
          <w:tcPr>
            <w:tcW w:type="dxa" w:w="3408"/>
            <w:vAlign w:val="top"/>
          </w:tcPr>
          <w:p>
            <w:r>
              <w:rPr>
                <w:sz w:val="16"/>
              </w:rPr>
              <w:t>High</w:t>
            </w:r>
          </w:p>
        </w:tc>
        <w:tc>
          <w:tcPr>
            <w:tcW w:type="dxa" w:w="3408"/>
            <w:vAlign w:val="top"/>
          </w:tcPr>
          <w:p>
            <w:r>
              <w:rPr>
                <w:sz w:val="16"/>
              </w:rPr>
              <w:t>CFO review requires a defensible payback case.</w:t>
            </w:r>
          </w:p>
        </w:tc>
      </w:tr>
      <w:tr>
        <w:tc>
          <w:tcPr>
            <w:tcW w:type="dxa" w:w="3408"/>
            <w:vAlign w:val="top"/>
          </w:tcPr>
          <w:p>
            <w:r>
              <w:rPr>
                <w:sz w:val="16"/>
              </w:rPr>
              <w:t>Operational adoption</w:t>
            </w:r>
          </w:p>
        </w:tc>
        <w:tc>
          <w:tcPr>
            <w:tcW w:type="dxa" w:w="3408"/>
            <w:vAlign w:val="top"/>
          </w:tcPr>
          <w:p>
            <w:r>
              <w:rPr>
                <w:sz w:val="16"/>
              </w:rPr>
              <w:t>High</w:t>
            </w:r>
          </w:p>
        </w:tc>
        <w:tc>
          <w:tcPr>
            <w:tcW w:type="dxa" w:w="3408"/>
            <w:vAlign w:val="top"/>
          </w:tcPr>
          <w:p>
            <w:r>
              <w:rPr>
                <w:sz w:val="16"/>
              </w:rPr>
              <w:t>Benefits require dispatch and field manager behavior change.</w:t>
            </w:r>
          </w:p>
        </w:tc>
      </w:tr>
      <w:tr>
        <w:tc>
          <w:tcPr>
            <w:tcW w:type="dxa" w:w="3408"/>
            <w:vAlign w:val="top"/>
          </w:tcPr>
          <w:p>
            <w:r>
              <w:rPr>
                <w:sz w:val="16"/>
              </w:rPr>
              <w:t>Integration risk</w:t>
            </w:r>
          </w:p>
        </w:tc>
        <w:tc>
          <w:tcPr>
            <w:tcW w:type="dxa" w:w="3408"/>
            <w:vAlign w:val="top"/>
          </w:tcPr>
          <w:p>
            <w:r>
              <w:rPr>
                <w:sz w:val="16"/>
              </w:rPr>
              <w:t>Medium</w:t>
            </w:r>
          </w:p>
        </w:tc>
        <w:tc>
          <w:tcPr>
            <w:tcW w:type="dxa" w:w="3408"/>
            <w:vAlign w:val="top"/>
          </w:tcPr>
          <w:p>
            <w:r>
              <w:rPr>
                <w:sz w:val="16"/>
              </w:rPr>
              <w:t>Systems integration can delay or dilute value.</w:t>
            </w:r>
          </w:p>
        </w:tc>
      </w:tr>
      <w:tr>
        <w:tc>
          <w:tcPr>
            <w:tcW w:type="dxa" w:w="3408"/>
            <w:vAlign w:val="top"/>
          </w:tcPr>
          <w:p>
            <w:r>
              <w:rPr>
                <w:sz w:val="16"/>
              </w:rPr>
              <w:t>Reversibility</w:t>
            </w:r>
          </w:p>
        </w:tc>
        <w:tc>
          <w:tcPr>
            <w:tcW w:type="dxa" w:w="3408"/>
            <w:vAlign w:val="top"/>
          </w:tcPr>
          <w:p>
            <w:r>
              <w:rPr>
                <w:sz w:val="16"/>
              </w:rPr>
              <w:t>Medium</w:t>
            </w:r>
          </w:p>
        </w:tc>
        <w:tc>
          <w:tcPr>
            <w:tcW w:type="dxa" w:w="3408"/>
            <w:vAlign w:val="top"/>
          </w:tcPr>
          <w:p>
            <w:r>
              <w:rPr>
                <w:sz w:val="16"/>
              </w:rPr>
              <w:t>A pilot should allow correction before scale.</w:t>
            </w:r>
          </w:p>
        </w:tc>
      </w:tr>
    </w:tbl>
    <w:p/>
    <w:p>
      <w:pPr>
        <w:pStyle w:val="Heading2"/>
      </w:pPr>
      <w:r>
        <w:t>Comparative Scoring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sz w:val="16"/>
              </w:rPr>
              <w:t>Option</w:t>
            </w:r>
          </w:p>
        </w:tc>
        <w:tc>
          <w:tcPr>
            <w:tcW w:type="dxa" w:w="2556"/>
            <w:shd w:fill="D9EAF7"/>
          </w:tcPr>
          <w:p>
            <w:r>
              <w:rPr>
                <w:b/>
                <w:sz w:val="16"/>
              </w:rPr>
              <w:t>Description</w:t>
            </w:r>
          </w:p>
        </w:tc>
        <w:tc>
          <w:tcPr>
            <w:tcW w:type="dxa" w:w="2556"/>
            <w:shd w:fill="D9EAF7"/>
          </w:tcPr>
          <w:p>
            <w:r>
              <w:rPr>
                <w:b/>
                <w:sz w:val="16"/>
              </w:rPr>
              <w:t>Score</w:t>
            </w:r>
          </w:p>
        </w:tc>
        <w:tc>
          <w:tcPr>
            <w:tcW w:type="dxa" w:w="2556"/>
            <w:shd w:fill="D9EAF7"/>
          </w:tcPr>
          <w:p>
            <w:r>
              <w:rPr>
                <w:b/>
                <w:sz w:val="16"/>
              </w:rPr>
              <w:t>Summary Finding</w:t>
            </w:r>
          </w:p>
        </w:tc>
      </w:tr>
      <w:tr>
        <w:tc>
          <w:tcPr>
            <w:tcW w:type="dxa" w:w="2556"/>
            <w:vAlign w:val="top"/>
          </w:tcPr>
          <w:p>
            <w:r>
              <w:rPr>
                <w:sz w:val="16"/>
              </w:rPr>
              <w:t>Option 0: Do Nothing</w:t>
            </w:r>
          </w:p>
        </w:tc>
        <w:tc>
          <w:tcPr>
            <w:tcW w:type="dxa" w:w="2556"/>
            <w:vAlign w:val="top"/>
          </w:tcPr>
          <w:p>
            <w:r>
              <w:rPr>
                <w:sz w:val="16"/>
              </w:rPr>
              <w:t>Maintain disconnected scheduling and parts-readiness workflows</w:t>
            </w:r>
          </w:p>
        </w:tc>
        <w:tc>
          <w:tcPr>
            <w:tcW w:type="dxa" w:w="2556"/>
            <w:vAlign w:val="top"/>
          </w:tcPr>
          <w:p>
            <w:r>
              <w:rPr>
                <w:sz w:val="16"/>
              </w:rPr>
              <w:t>1.8 / 5</w:t>
            </w:r>
          </w:p>
        </w:tc>
        <w:tc>
          <w:tcPr>
            <w:tcW w:type="dxa" w:w="2556"/>
            <w:vAlign w:val="top"/>
          </w:tcPr>
          <w:p>
            <w:r>
              <w:rPr>
                <w:sz w:val="16"/>
              </w:rPr>
              <w:t>Avoids spend but preserves productivity leakage and rework.</w:t>
            </w:r>
          </w:p>
        </w:tc>
      </w:tr>
      <w:tr>
        <w:tc>
          <w:tcPr>
            <w:tcW w:type="dxa" w:w="2556"/>
            <w:vAlign w:val="top"/>
          </w:tcPr>
          <w:p>
            <w:r>
              <w:rPr>
                <w:sz w:val="16"/>
              </w:rPr>
              <w:t>Option 1: Process-only readiness checklist</w:t>
            </w:r>
          </w:p>
        </w:tc>
        <w:tc>
          <w:tcPr>
            <w:tcW w:type="dxa" w:w="2556"/>
            <w:vAlign w:val="top"/>
          </w:tcPr>
          <w:p>
            <w:r>
              <w:rPr>
                <w:sz w:val="16"/>
              </w:rPr>
              <w:t>Add manual readiness discipline without systems integration</w:t>
            </w:r>
          </w:p>
        </w:tc>
        <w:tc>
          <w:tcPr>
            <w:tcW w:type="dxa" w:w="2556"/>
            <w:vAlign w:val="top"/>
          </w:tcPr>
          <w:p>
            <w:r>
              <w:rPr>
                <w:sz w:val="16"/>
              </w:rPr>
              <w:t>2.9 / 5</w:t>
            </w:r>
          </w:p>
        </w:tc>
        <w:tc>
          <w:tcPr>
            <w:tcW w:type="dxa" w:w="2556"/>
            <w:vAlign w:val="top"/>
          </w:tcPr>
          <w:p>
            <w:r>
              <w:rPr>
                <w:sz w:val="16"/>
              </w:rPr>
              <w:t>Lower cost but likely fragile and supervisor-dependent.</w:t>
            </w:r>
          </w:p>
        </w:tc>
      </w:tr>
      <w:tr>
        <w:tc>
          <w:tcPr>
            <w:tcW w:type="dxa" w:w="2556"/>
            <w:vAlign w:val="top"/>
          </w:tcPr>
          <w:p>
            <w:r>
              <w:rPr>
                <w:sz w:val="16"/>
              </w:rPr>
              <w:t>Option 2: Phased readiness signal and dispatch workflow modernization</w:t>
            </w:r>
          </w:p>
        </w:tc>
        <w:tc>
          <w:tcPr>
            <w:tcW w:type="dxa" w:w="2556"/>
            <w:vAlign w:val="top"/>
          </w:tcPr>
          <w:p>
            <w:r>
              <w:rPr>
                <w:sz w:val="16"/>
              </w:rPr>
              <w:t>Pilot then scale integrated readiness signal and governance</w:t>
            </w:r>
          </w:p>
        </w:tc>
        <w:tc>
          <w:tcPr>
            <w:tcW w:type="dxa" w:w="2556"/>
            <w:vAlign w:val="top"/>
          </w:tcPr>
          <w:p>
            <w:r>
              <w:rPr>
                <w:sz w:val="16"/>
              </w:rPr>
              <w:t>4.3 / 5</w:t>
            </w:r>
          </w:p>
        </w:tc>
        <w:tc>
          <w:tcPr>
            <w:tcW w:type="dxa" w:w="2556"/>
            <w:vAlign w:val="top"/>
          </w:tcPr>
          <w:p>
            <w:r>
              <w:rPr>
                <w:sz w:val="16"/>
              </w:rPr>
              <w:t>Best risk-adjusted balance of return, adoption, and control.</w:t>
            </w:r>
          </w:p>
        </w:tc>
      </w:tr>
      <w:tr>
        <w:tc>
          <w:tcPr>
            <w:tcW w:type="dxa" w:w="2556"/>
            <w:vAlign w:val="top"/>
          </w:tcPr>
          <w:p>
            <w:r>
              <w:rPr>
                <w:sz w:val="16"/>
              </w:rPr>
              <w:t>Option 3: Full field service platform replacement</w:t>
            </w:r>
          </w:p>
        </w:tc>
        <w:tc>
          <w:tcPr>
            <w:tcW w:type="dxa" w:w="2556"/>
            <w:vAlign w:val="top"/>
          </w:tcPr>
          <w:p>
            <w:r>
              <w:rPr>
                <w:sz w:val="16"/>
              </w:rPr>
              <w:t>Replace broader field service platform</w:t>
            </w:r>
          </w:p>
        </w:tc>
        <w:tc>
          <w:tcPr>
            <w:tcW w:type="dxa" w:w="2556"/>
            <w:vAlign w:val="top"/>
          </w:tcPr>
          <w:p>
            <w:r>
              <w:rPr>
                <w:sz w:val="16"/>
              </w:rPr>
              <w:t>3.1 / 5</w:t>
            </w:r>
          </w:p>
        </w:tc>
        <w:tc>
          <w:tcPr>
            <w:tcW w:type="dxa" w:w="2556"/>
            <w:vAlign w:val="top"/>
          </w:tcPr>
          <w:p>
            <w:r>
              <w:rPr>
                <w:sz w:val="16"/>
              </w:rPr>
              <w:t>May solve more problems but has higher cost, longer timeline, and greater disruption.</w:t>
            </w:r>
          </w:p>
        </w:tc>
      </w:tr>
    </w:tbl>
    <w:p/>
    <w:p>
      <w:pPr>
        <w:pStyle w:val="Heading1"/>
      </w:pPr>
      <w:r>
        <w:t>5. Recommended Solution</w:t>
      </w:r>
    </w:p>
    <w:p>
      <w:pPr>
        <w:pStyle w:val="Heading2"/>
      </w:pPr>
      <w:r>
        <w:t>Recommendation</w:t>
      </w:r>
    </w:p>
    <w:p>
      <w:r>
        <w:t>Approve Option 2: a phased readiness signal and dispatch workflow modernization program.</w:t>
      </w:r>
    </w:p>
    <w:p>
      <w:pPr>
        <w:pStyle w:val="Heading2"/>
      </w:pPr>
      <w:r>
        <w:t>Rationale</w:t>
      </w:r>
    </w:p>
    <w:p>
      <w:r>
        <w:t>Option 2 addresses the root cause without forcing a full platform replacement. It creates a readiness gate, validates data quality, tests supervisor adoption, and allows the company to stop or redirect before enterprise rollout if assumptions fail.</w:t>
      </w:r>
    </w:p>
    <w:p>
      <w:pPr>
        <w:pStyle w:val="Heading2"/>
      </w:pPr>
      <w:r>
        <w:t>Solution Description</w:t>
      </w:r>
    </w:p>
    <w:p>
      <w:r/>
      <w:r>
        <w:rPr>
          <w:b/>
        </w:rPr>
        <w:t>People:</w:t>
      </w:r>
      <w:r>
        <w:t xml:space="preserve"> Dispatch supervisors, field managers, inventory coordinators, and IT operations owners will participate in readiness-rule design and pilot governance.</w:t>
      </w:r>
    </w:p>
    <w:p>
      <w:r/>
      <w:r>
        <w:rPr>
          <w:b/>
        </w:rPr>
        <w:t>Process:</w:t>
      </w:r>
      <w:r>
        <w:t xml:space="preserve"> Work orders must pass a parts-readiness and route-feasibility check before dispatch commitment, with defined override authority.</w:t>
      </w:r>
    </w:p>
    <w:p>
      <w:r/>
      <w:r>
        <w:rPr>
          <w:b/>
        </w:rPr>
        <w:t>Technology:</w:t>
      </w:r>
      <w:r>
        <w:t xml:space="preserve"> Existing scheduling and inventory systems will feed a readiness signal. The pilot should validate integration needs before broader automation.</w:t>
      </w:r>
    </w:p>
    <w:p>
      <w:pPr>
        <w:pStyle w:val="Heading2"/>
      </w:pPr>
      <w:r>
        <w:t>Dependencies and Prerequisites</w:t>
      </w:r>
    </w:p>
    <w:p>
      <w:pPr>
        <w:pStyle w:val="ListBullet"/>
      </w:pPr>
      <w:r>
        <w:t>Work-order history and inventory status data must be accessible for baseline validation.</w:t>
      </w:r>
    </w:p>
    <w:p>
      <w:pPr>
        <w:pStyle w:val="ListBullet"/>
      </w:pPr>
      <w:r>
        <w:t>Dispatch supervisors must participate in workflow design.</w:t>
      </w:r>
    </w:p>
    <w:p>
      <w:pPr>
        <w:pStyle w:val="ListBullet"/>
      </w:pPr>
      <w:r>
        <w:t>IT must confirm integration feasibility before vendor configuration.</w:t>
      </w:r>
    </w:p>
    <w:p>
      <w:pPr>
        <w:pStyle w:val="ListBullet"/>
      </w:pPr>
      <w:r>
        <w:t>Finance must validate loaded labor rate and benefit methodology.</w:t>
      </w:r>
    </w:p>
    <w:p>
      <w:pPr>
        <w:pStyle w:val="Heading1"/>
      </w:pPr>
      <w:r>
        <w:t>6. Financial Analysis</w:t>
      </w:r>
    </w:p>
    <w:p>
      <w:pPr>
        <w:pStyle w:val="Heading2"/>
      </w:pPr>
      <w:r>
        <w:t>Investment Summary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sz w:val="16"/>
              </w:rPr>
              <w:t>Category</w:t>
            </w:r>
          </w:p>
        </w:tc>
        <w:tc>
          <w:tcPr>
            <w:tcW w:type="dxa" w:w="2556"/>
            <w:shd w:fill="D9EAF7"/>
          </w:tcPr>
          <w:p>
            <w:r>
              <w:rPr>
                <w:b/>
                <w:sz w:val="16"/>
              </w:rPr>
              <w:t>One-Time Cost</w:t>
            </w:r>
          </w:p>
        </w:tc>
        <w:tc>
          <w:tcPr>
            <w:tcW w:type="dxa" w:w="2556"/>
            <w:shd w:fill="D9EAF7"/>
          </w:tcPr>
          <w:p>
            <w:r>
              <w:rPr>
                <w:b/>
                <w:sz w:val="16"/>
              </w:rPr>
              <w:t>Annual Recurring Cost</w:t>
            </w:r>
          </w:p>
        </w:tc>
        <w:tc>
          <w:tcPr>
            <w:tcW w:type="dxa" w:w="2556"/>
            <w:shd w:fill="D9EAF7"/>
          </w:tcPr>
          <w:p>
            <w:r>
              <w:rPr>
                <w:b/>
                <w:sz w:val="16"/>
              </w:rPr>
              <w:t>Notes / Assumptions</w:t>
            </w:r>
          </w:p>
        </w:tc>
      </w:tr>
      <w:tr>
        <w:tc>
          <w:tcPr>
            <w:tcW w:type="dxa" w:w="2556"/>
            <w:vAlign w:val="top"/>
          </w:tcPr>
          <w:p>
            <w:r>
              <w:rPr>
                <w:sz w:val="16"/>
              </w:rPr>
              <w:t>Implementation labor</w:t>
            </w:r>
          </w:p>
        </w:tc>
        <w:tc>
          <w:tcPr>
            <w:tcW w:type="dxa" w:w="2556"/>
            <w:vAlign w:val="top"/>
          </w:tcPr>
          <w:p>
            <w:r>
              <w:rPr>
                <w:sz w:val="16"/>
              </w:rPr>
              <w:t>$250,000</w:t>
            </w:r>
          </w:p>
        </w:tc>
        <w:tc>
          <w:tcPr>
            <w:tcW w:type="dxa" w:w="2556"/>
            <w:vAlign w:val="top"/>
          </w:tcPr>
          <w:p>
            <w:r>
              <w:rPr>
                <w:sz w:val="16"/>
              </w:rPr>
              <w:t>$0</w:t>
            </w:r>
          </w:p>
        </w:tc>
        <w:tc>
          <w:tcPr>
            <w:tcW w:type="dxa" w:w="2556"/>
            <w:vAlign w:val="top"/>
          </w:tcPr>
          <w:p>
            <w:r>
              <w:rPr>
                <w:sz w:val="16"/>
              </w:rPr>
              <w:t>Internal and external project labor.</w:t>
            </w:r>
          </w:p>
        </w:tc>
      </w:tr>
      <w:tr>
        <w:tc>
          <w:tcPr>
            <w:tcW w:type="dxa" w:w="2556"/>
            <w:vAlign w:val="top"/>
          </w:tcPr>
          <w:p>
            <w:r>
              <w:rPr>
                <w:sz w:val="16"/>
              </w:rPr>
              <w:t>Technology and integration</w:t>
            </w:r>
          </w:p>
        </w:tc>
        <w:tc>
          <w:tcPr>
            <w:tcW w:type="dxa" w:w="2556"/>
            <w:vAlign w:val="top"/>
          </w:tcPr>
          <w:p>
            <w:r>
              <w:rPr>
                <w:sz w:val="16"/>
              </w:rPr>
              <w:t>$180,000</w:t>
            </w:r>
          </w:p>
        </w:tc>
        <w:tc>
          <w:tcPr>
            <w:tcW w:type="dxa" w:w="2556"/>
            <w:vAlign w:val="top"/>
          </w:tcPr>
          <w:p>
            <w:r>
              <w:rPr>
                <w:sz w:val="16"/>
              </w:rPr>
              <w:t>$150,000</w:t>
            </w:r>
          </w:p>
        </w:tc>
        <w:tc>
          <w:tcPr>
            <w:tcW w:type="dxa" w:w="2556"/>
            <w:vAlign w:val="top"/>
          </w:tcPr>
          <w:p>
            <w:r>
              <w:rPr>
                <w:sz w:val="16"/>
              </w:rPr>
              <w:t>Licensing, integration, and support estimate.</w:t>
            </w:r>
          </w:p>
        </w:tc>
      </w:tr>
      <w:tr>
        <w:tc>
          <w:tcPr>
            <w:tcW w:type="dxa" w:w="2556"/>
            <w:vAlign w:val="top"/>
          </w:tcPr>
          <w:p>
            <w:r>
              <w:rPr>
                <w:sz w:val="16"/>
              </w:rPr>
              <w:t>Training and adoption</w:t>
            </w:r>
          </w:p>
        </w:tc>
        <w:tc>
          <w:tcPr>
            <w:tcW w:type="dxa" w:w="2556"/>
            <w:vAlign w:val="top"/>
          </w:tcPr>
          <w:p>
            <w:r>
              <w:rPr>
                <w:sz w:val="16"/>
              </w:rPr>
              <w:t>$90,000</w:t>
            </w:r>
          </w:p>
        </w:tc>
        <w:tc>
          <w:tcPr>
            <w:tcW w:type="dxa" w:w="2556"/>
            <w:vAlign w:val="top"/>
          </w:tcPr>
          <w:p>
            <w:r>
              <w:rPr>
                <w:sz w:val="16"/>
              </w:rPr>
              <w:t>$30,000</w:t>
            </w:r>
          </w:p>
        </w:tc>
        <w:tc>
          <w:tcPr>
            <w:tcW w:type="dxa" w:w="2556"/>
            <w:vAlign w:val="top"/>
          </w:tcPr>
          <w:p>
            <w:r>
              <w:rPr>
                <w:sz w:val="16"/>
              </w:rPr>
              <w:t>Supervisor and technician enablement.</w:t>
            </w:r>
          </w:p>
        </w:tc>
      </w:tr>
      <w:tr>
        <w:tc>
          <w:tcPr>
            <w:tcW w:type="dxa" w:w="2556"/>
            <w:vAlign w:val="top"/>
          </w:tcPr>
          <w:p>
            <w:r>
              <w:rPr>
                <w:sz w:val="16"/>
              </w:rPr>
              <w:t>Contingency</w:t>
            </w:r>
          </w:p>
        </w:tc>
        <w:tc>
          <w:tcPr>
            <w:tcW w:type="dxa" w:w="2556"/>
            <w:vAlign w:val="top"/>
          </w:tcPr>
          <w:p>
            <w:r>
              <w:rPr>
                <w:sz w:val="16"/>
              </w:rPr>
              <w:t>$100,000</w:t>
            </w:r>
          </w:p>
        </w:tc>
        <w:tc>
          <w:tcPr>
            <w:tcW w:type="dxa" w:w="2556"/>
            <w:vAlign w:val="top"/>
          </w:tcPr>
          <w:p>
            <w:r>
              <w:rPr>
                <w:sz w:val="16"/>
              </w:rPr>
              <w:t>$0</w:t>
            </w:r>
          </w:p>
        </w:tc>
        <w:tc>
          <w:tcPr>
            <w:tcW w:type="dxa" w:w="2556"/>
            <w:vAlign w:val="top"/>
          </w:tcPr>
          <w:p>
            <w:r>
              <w:rPr>
                <w:sz w:val="16"/>
              </w:rPr>
              <w:t>Planning contingency for integration uncertainty.</w:t>
            </w:r>
          </w:p>
        </w:tc>
      </w:tr>
      <w:tr>
        <w:tc>
          <w:tcPr>
            <w:tcW w:type="dxa" w:w="2556"/>
            <w:vAlign w:val="top"/>
          </w:tcPr>
          <w:p>
            <w:r>
              <w:rPr>
                <w:sz w:val="16"/>
              </w:rPr>
              <w:t>**Total**</w:t>
            </w:r>
          </w:p>
        </w:tc>
        <w:tc>
          <w:tcPr>
            <w:tcW w:type="dxa" w:w="2556"/>
            <w:vAlign w:val="top"/>
          </w:tcPr>
          <w:p>
            <w:r>
              <w:rPr>
                <w:sz w:val="16"/>
              </w:rPr>
              <w:t>**$620,000**</w:t>
            </w:r>
          </w:p>
        </w:tc>
        <w:tc>
          <w:tcPr>
            <w:tcW w:type="dxa" w:w="2556"/>
            <w:vAlign w:val="top"/>
          </w:tcPr>
          <w:p>
            <w:r>
              <w:rPr>
                <w:sz w:val="16"/>
              </w:rPr>
              <w:t>**$180,000**</w:t>
            </w:r>
          </w:p>
        </w:tc>
        <w:tc>
          <w:tcPr>
            <w:tcW w:type="dxa" w:w="2556"/>
            <w:vAlign w:val="top"/>
          </w:tcPr>
          <w:p>
            <w:r>
              <w:rPr>
                <w:sz w:val="16"/>
              </w:rPr>
              <w:t>Fictional sample estimate.</w:t>
            </w:r>
          </w:p>
        </w:tc>
      </w:tr>
    </w:tbl>
    <w:p/>
    <w:p>
      <w:pPr>
        <w:pStyle w:val="Heading2"/>
      </w:pPr>
      <w:r>
        <w:t>Benefit Model</w:t>
      </w:r>
    </w:p>
    <w:p>
      <w:r/>
      <w:r>
        <w:rPr>
          <w:b/>
        </w:rPr>
        <w:t>Hard Benefits Included in ROI</w:t>
      </w:r>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6"/>
              </w:rPr>
              <w:t>Benefit</w:t>
            </w:r>
          </w:p>
        </w:tc>
        <w:tc>
          <w:tcPr>
            <w:tcW w:type="dxa" w:w="3408"/>
            <w:shd w:fill="D9EAF7"/>
          </w:tcPr>
          <w:p>
            <w:r>
              <w:rPr>
                <w:b/>
                <w:sz w:val="16"/>
              </w:rPr>
              <w:t>Annual Value</w:t>
            </w:r>
          </w:p>
        </w:tc>
        <w:tc>
          <w:tcPr>
            <w:tcW w:type="dxa" w:w="3408"/>
            <w:shd w:fill="D9EAF7"/>
          </w:tcPr>
          <w:p>
            <w:r>
              <w:rPr>
                <w:b/>
                <w:sz w:val="16"/>
              </w:rPr>
              <w:t>Basis / Assumption</w:t>
            </w:r>
          </w:p>
        </w:tc>
      </w:tr>
      <w:tr>
        <w:tc>
          <w:tcPr>
            <w:tcW w:type="dxa" w:w="3408"/>
            <w:vAlign w:val="top"/>
          </w:tcPr>
          <w:p>
            <w:r>
              <w:rPr>
                <w:sz w:val="16"/>
              </w:rPr>
              <w:t>Recovered technician productivity</w:t>
            </w:r>
          </w:p>
        </w:tc>
        <w:tc>
          <w:tcPr>
            <w:tcW w:type="dxa" w:w="3408"/>
            <w:vAlign w:val="top"/>
          </w:tcPr>
          <w:p>
            <w:r>
              <w:rPr>
                <w:sz w:val="16"/>
              </w:rPr>
              <w:t>$900,000</w:t>
            </w:r>
          </w:p>
        </w:tc>
        <w:tc>
          <w:tcPr>
            <w:tcW w:type="dxa" w:w="3408"/>
            <w:vAlign w:val="top"/>
          </w:tcPr>
          <w:p>
            <w:r>
              <w:rPr>
                <w:sz w:val="16"/>
              </w:rPr>
              <w:t>Reduced lost hours using loaded labor rate assumption.</w:t>
            </w:r>
          </w:p>
        </w:tc>
      </w:tr>
      <w:tr>
        <w:tc>
          <w:tcPr>
            <w:tcW w:type="dxa" w:w="3408"/>
            <w:vAlign w:val="top"/>
          </w:tcPr>
          <w:p>
            <w:r>
              <w:rPr>
                <w:sz w:val="16"/>
              </w:rPr>
              <w:t>Avoided emergency reschedule premium</w:t>
            </w:r>
          </w:p>
        </w:tc>
        <w:tc>
          <w:tcPr>
            <w:tcW w:type="dxa" w:w="3408"/>
            <w:vAlign w:val="top"/>
          </w:tcPr>
          <w:p>
            <w:r>
              <w:rPr>
                <w:sz w:val="16"/>
              </w:rPr>
              <w:t>$350,000</w:t>
            </w:r>
          </w:p>
        </w:tc>
        <w:tc>
          <w:tcPr>
            <w:tcW w:type="dxa" w:w="3408"/>
            <w:vAlign w:val="top"/>
          </w:tcPr>
          <w:p>
            <w:r>
              <w:rPr>
                <w:sz w:val="16"/>
              </w:rPr>
              <w:t>Lower supervisor rework and avoidable emergency scheduling.</w:t>
            </w:r>
          </w:p>
        </w:tc>
      </w:tr>
      <w:tr>
        <w:tc>
          <w:tcPr>
            <w:tcW w:type="dxa" w:w="3408"/>
            <w:vAlign w:val="top"/>
          </w:tcPr>
          <w:p>
            <w:r>
              <w:rPr>
                <w:sz w:val="16"/>
              </w:rPr>
              <w:t>**Total Hard Benefits**</w:t>
            </w:r>
          </w:p>
        </w:tc>
        <w:tc>
          <w:tcPr>
            <w:tcW w:type="dxa" w:w="3408"/>
            <w:vAlign w:val="top"/>
          </w:tcPr>
          <w:p>
            <w:r>
              <w:rPr>
                <w:sz w:val="16"/>
              </w:rPr>
              <w:t>**$1,250,000**</w:t>
            </w:r>
          </w:p>
        </w:tc>
        <w:tc>
          <w:tcPr>
            <w:tcW w:type="dxa" w:w="3408"/>
            <w:vAlign w:val="top"/>
          </w:tcPr>
          <w:p>
            <w:r>
              <w:rPr>
                <w:sz w:val="16"/>
              </w:rPr>
              <w:t>Planning estimate pending validation.</w:t>
            </w:r>
          </w:p>
        </w:tc>
      </w:tr>
    </w:tbl>
    <w:p/>
    <w:p>
      <w:r/>
      <w:r>
        <w:rPr>
          <w:b/>
        </w:rPr>
        <w:t>Soft Benefits Not Included in ROI</w:t>
      </w:r>
      <w:r/>
    </w:p>
    <w:p>
      <w:pPr>
        <w:pStyle w:val="ListBullet"/>
      </w:pPr>
      <w:r>
        <w:t>Improved customer promise reliability.</w:t>
      </w:r>
    </w:p>
    <w:p>
      <w:pPr>
        <w:pStyle w:val="ListBullet"/>
      </w:pPr>
      <w:r>
        <w:t>Reduced supervisor frustration and manual reconciliation.</w:t>
      </w:r>
    </w:p>
    <w:p>
      <w:pPr>
        <w:pStyle w:val="ListBullet"/>
      </w:pPr>
      <w:r>
        <w:t>Better operational visibility for field leadership.</w:t>
      </w:r>
    </w:p>
    <w:p>
      <w:pPr>
        <w:pStyle w:val="Heading2"/>
      </w:pPr>
      <w:r>
        <w:t>Return Analysis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6"/>
              </w:rPr>
              <w:t>Metric</w:t>
            </w:r>
          </w:p>
        </w:tc>
        <w:tc>
          <w:tcPr>
            <w:tcW w:type="dxa" w:w="5112"/>
            <w:shd w:fill="D9EAF7"/>
          </w:tcPr>
          <w:p>
            <w:r>
              <w:rPr>
                <w:b/>
                <w:sz w:val="16"/>
              </w:rPr>
              <w:t>Value</w:t>
            </w:r>
          </w:p>
        </w:tc>
      </w:tr>
      <w:tr>
        <w:tc>
          <w:tcPr>
            <w:tcW w:type="dxa" w:w="5112"/>
            <w:vAlign w:val="top"/>
          </w:tcPr>
          <w:p>
            <w:r>
              <w:rPr>
                <w:sz w:val="16"/>
              </w:rPr>
              <w:t>Year 1 investment</w:t>
            </w:r>
          </w:p>
        </w:tc>
        <w:tc>
          <w:tcPr>
            <w:tcW w:type="dxa" w:w="5112"/>
            <w:vAlign w:val="top"/>
          </w:tcPr>
          <w:p>
            <w:r>
              <w:rPr>
                <w:sz w:val="16"/>
              </w:rPr>
              <w:t>$800,000</w:t>
            </w:r>
          </w:p>
        </w:tc>
      </w:tr>
      <w:tr>
        <w:tc>
          <w:tcPr>
            <w:tcW w:type="dxa" w:w="5112"/>
            <w:vAlign w:val="top"/>
          </w:tcPr>
          <w:p>
            <w:r>
              <w:rPr>
                <w:sz w:val="16"/>
              </w:rPr>
              <w:t>Annual hard benefit</w:t>
            </w:r>
          </w:p>
        </w:tc>
        <w:tc>
          <w:tcPr>
            <w:tcW w:type="dxa" w:w="5112"/>
            <w:vAlign w:val="top"/>
          </w:tcPr>
          <w:p>
            <w:r>
              <w:rPr>
                <w:sz w:val="16"/>
              </w:rPr>
              <w:t>$1,250,000</w:t>
            </w:r>
          </w:p>
        </w:tc>
      </w:tr>
      <w:tr>
        <w:tc>
          <w:tcPr>
            <w:tcW w:type="dxa" w:w="5112"/>
            <w:vAlign w:val="top"/>
          </w:tcPr>
          <w:p>
            <w:r>
              <w:rPr>
                <w:sz w:val="16"/>
              </w:rPr>
              <w:t>Approximate payback</w:t>
            </w:r>
          </w:p>
        </w:tc>
        <w:tc>
          <w:tcPr>
            <w:tcW w:type="dxa" w:w="5112"/>
            <w:vAlign w:val="top"/>
          </w:tcPr>
          <w:p>
            <w:r>
              <w:rPr>
                <w:sz w:val="16"/>
              </w:rPr>
              <w:t>7 months</w:t>
            </w:r>
          </w:p>
        </w:tc>
      </w:tr>
      <w:tr>
        <w:tc>
          <w:tcPr>
            <w:tcW w:type="dxa" w:w="5112"/>
            <w:vAlign w:val="top"/>
          </w:tcPr>
          <w:p>
            <w:r>
              <w:rPr>
                <w:sz w:val="16"/>
              </w:rPr>
              <w:t>3-year net benefit before discounting</w:t>
            </w:r>
          </w:p>
        </w:tc>
        <w:tc>
          <w:tcPr>
            <w:tcW w:type="dxa" w:w="5112"/>
            <w:vAlign w:val="top"/>
          </w:tcPr>
          <w:p>
            <w:r>
              <w:rPr>
                <w:sz w:val="16"/>
              </w:rPr>
              <w:t>$2,770,000</w:t>
            </w:r>
          </w:p>
        </w:tc>
      </w:tr>
    </w:tbl>
    <w:p/>
    <w:p>
      <w:pPr>
        <w:pStyle w:val="Heading2"/>
      </w:pPr>
      <w:r>
        <w:t>Sensitivity Analysis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6"/>
              </w:rPr>
              <w:t>Scenario</w:t>
            </w:r>
          </w:p>
        </w:tc>
        <w:tc>
          <w:tcPr>
            <w:tcW w:type="dxa" w:w="3408"/>
            <w:shd w:fill="D9EAF7"/>
          </w:tcPr>
          <w:p>
            <w:r>
              <w:rPr>
                <w:b/>
                <w:sz w:val="16"/>
              </w:rPr>
              <w:t>Variable</w:t>
            </w:r>
          </w:p>
        </w:tc>
        <w:tc>
          <w:tcPr>
            <w:tcW w:type="dxa" w:w="3408"/>
            <w:shd w:fill="D9EAF7"/>
          </w:tcPr>
          <w:p>
            <w:r>
              <w:rPr>
                <w:b/>
                <w:sz w:val="16"/>
              </w:rPr>
              <w:t>Impact</w:t>
            </w:r>
          </w:p>
        </w:tc>
      </w:tr>
      <w:tr>
        <w:tc>
          <w:tcPr>
            <w:tcW w:type="dxa" w:w="3408"/>
            <w:vAlign w:val="top"/>
          </w:tcPr>
          <w:p>
            <w:r>
              <w:rPr>
                <w:sz w:val="16"/>
              </w:rPr>
              <w:t>Base case</w:t>
            </w:r>
          </w:p>
        </w:tc>
        <w:tc>
          <w:tcPr>
            <w:tcW w:type="dxa" w:w="3408"/>
            <w:vAlign w:val="top"/>
          </w:tcPr>
          <w:p>
            <w:r>
              <w:rPr>
                <w:sz w:val="16"/>
              </w:rPr>
              <w:t>$1.25M annual hard benefit</w:t>
            </w:r>
          </w:p>
        </w:tc>
        <w:tc>
          <w:tcPr>
            <w:tcW w:type="dxa" w:w="3408"/>
            <w:vAlign w:val="top"/>
          </w:tcPr>
          <w:p>
            <w:r>
              <w:rPr>
                <w:sz w:val="16"/>
              </w:rPr>
              <w:t>Payback approx. 7 months.</w:t>
            </w:r>
          </w:p>
        </w:tc>
      </w:tr>
      <w:tr>
        <w:tc>
          <w:tcPr>
            <w:tcW w:type="dxa" w:w="3408"/>
            <w:vAlign w:val="top"/>
          </w:tcPr>
          <w:p>
            <w:r>
              <w:rPr>
                <w:sz w:val="16"/>
              </w:rPr>
              <w:t>Benefit underperformance</w:t>
            </w:r>
          </w:p>
        </w:tc>
        <w:tc>
          <w:tcPr>
            <w:tcW w:type="dxa" w:w="3408"/>
            <w:vAlign w:val="top"/>
          </w:tcPr>
          <w:p>
            <w:r>
              <w:rPr>
                <w:sz w:val="16"/>
              </w:rPr>
              <w:t>Benefits 25% lower</w:t>
            </w:r>
          </w:p>
        </w:tc>
        <w:tc>
          <w:tcPr>
            <w:tcW w:type="dxa" w:w="3408"/>
            <w:vAlign w:val="top"/>
          </w:tcPr>
          <w:p>
            <w:r>
              <w:rPr>
                <w:sz w:val="16"/>
              </w:rPr>
              <w:t>Payback extends to approx. 10 months.</w:t>
            </w:r>
          </w:p>
        </w:tc>
      </w:tr>
      <w:tr>
        <w:tc>
          <w:tcPr>
            <w:tcW w:type="dxa" w:w="3408"/>
            <w:vAlign w:val="top"/>
          </w:tcPr>
          <w:p>
            <w:r>
              <w:rPr>
                <w:sz w:val="16"/>
              </w:rPr>
              <w:t>Implementation overrun</w:t>
            </w:r>
          </w:p>
        </w:tc>
        <w:tc>
          <w:tcPr>
            <w:tcW w:type="dxa" w:w="3408"/>
            <w:vAlign w:val="top"/>
          </w:tcPr>
          <w:p>
            <w:r>
              <w:rPr>
                <w:sz w:val="16"/>
              </w:rPr>
              <w:t>One-time cost 25% higher</w:t>
            </w:r>
          </w:p>
        </w:tc>
        <w:tc>
          <w:tcPr>
            <w:tcW w:type="dxa" w:w="3408"/>
            <w:vAlign w:val="top"/>
          </w:tcPr>
          <w:p>
            <w:r>
              <w:rPr>
                <w:sz w:val="16"/>
              </w:rPr>
              <w:t>Payback extends to approx. 9 months.</w:t>
            </w:r>
          </w:p>
        </w:tc>
      </w:tr>
      <w:tr>
        <w:tc>
          <w:tcPr>
            <w:tcW w:type="dxa" w:w="3408"/>
            <w:vAlign w:val="top"/>
          </w:tcPr>
          <w:p>
            <w:r>
              <w:rPr>
                <w:sz w:val="16"/>
              </w:rPr>
              <w:t>Data remediation required</w:t>
            </w:r>
          </w:p>
        </w:tc>
        <w:tc>
          <w:tcPr>
            <w:tcW w:type="dxa" w:w="3408"/>
            <w:vAlign w:val="top"/>
          </w:tcPr>
          <w:p>
            <w:r>
              <w:rPr>
                <w:sz w:val="16"/>
              </w:rPr>
              <w:t>Pilot delayed by 90 days</w:t>
            </w:r>
          </w:p>
        </w:tc>
        <w:tc>
          <w:tcPr>
            <w:tcW w:type="dxa" w:w="3408"/>
            <w:vAlign w:val="top"/>
          </w:tcPr>
          <w:p>
            <w:r>
              <w:rPr>
                <w:sz w:val="16"/>
              </w:rPr>
              <w:t>Benefit realization moves one quarter later.</w:t>
            </w:r>
          </w:p>
        </w:tc>
      </w:tr>
    </w:tbl>
    <w:p/>
    <w:p>
      <w:pPr>
        <w:pStyle w:val="Heading1"/>
      </w:pPr>
      <w:r>
        <w:t>7. Risk Assessment</w:t>
      </w:r>
    </w:p>
    <w:p>
      <w:pPr>
        <w:pStyle w:val="Heading2"/>
      </w:pPr>
      <w:r>
        <w:t>Top Risks</w:t>
      </w:r>
    </w:p>
    <w:p>
      <w:r>
        <w:t>The three material risks are data quality, field adoption, and integration complexity. Each can materially affect benefit timing and payback.</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shd w:fill="D9EAF7"/>
          </w:tcPr>
          <w:p>
            <w:r>
              <w:rPr>
                <w:b/>
                <w:sz w:val="16"/>
              </w:rPr>
              <w:t>Risk</w:t>
            </w:r>
          </w:p>
        </w:tc>
        <w:tc>
          <w:tcPr>
            <w:tcW w:type="dxa" w:w="1461"/>
            <w:shd w:fill="D9EAF7"/>
          </w:tcPr>
          <w:p>
            <w:r>
              <w:rPr>
                <w:b/>
                <w:sz w:val="16"/>
              </w:rPr>
              <w:t>Likelihood</w:t>
            </w:r>
          </w:p>
        </w:tc>
        <w:tc>
          <w:tcPr>
            <w:tcW w:type="dxa" w:w="1461"/>
            <w:shd w:fill="D9EAF7"/>
          </w:tcPr>
          <w:p>
            <w:r>
              <w:rPr>
                <w:b/>
                <w:sz w:val="16"/>
              </w:rPr>
              <w:t>Impact</w:t>
            </w:r>
          </w:p>
        </w:tc>
        <w:tc>
          <w:tcPr>
            <w:tcW w:type="dxa" w:w="1461"/>
            <w:shd w:fill="D9EAF7"/>
          </w:tcPr>
          <w:p>
            <w:r>
              <w:rPr>
                <w:b/>
                <w:sz w:val="16"/>
              </w:rPr>
              <w:t>Severity</w:t>
            </w:r>
          </w:p>
        </w:tc>
        <w:tc>
          <w:tcPr>
            <w:tcW w:type="dxa" w:w="1461"/>
            <w:shd w:fill="D9EAF7"/>
          </w:tcPr>
          <w:p>
            <w:r>
              <w:rPr>
                <w:b/>
                <w:sz w:val="16"/>
              </w:rPr>
              <w:t>Mitigation</w:t>
            </w:r>
          </w:p>
        </w:tc>
        <w:tc>
          <w:tcPr>
            <w:tcW w:type="dxa" w:w="1461"/>
            <w:shd w:fill="D9EAF7"/>
          </w:tcPr>
          <w:p>
            <w:r>
              <w:rPr>
                <w:b/>
                <w:sz w:val="16"/>
              </w:rPr>
              <w:t>Residual Risk</w:t>
            </w:r>
          </w:p>
        </w:tc>
        <w:tc>
          <w:tcPr>
            <w:tcW w:type="dxa" w:w="1461"/>
            <w:shd w:fill="D9EAF7"/>
          </w:tcPr>
          <w:p>
            <w:r>
              <w:rPr>
                <w:b/>
                <w:sz w:val="16"/>
              </w:rPr>
              <w:t>Owner</w:t>
            </w:r>
          </w:p>
        </w:tc>
      </w:tr>
      <w:tr>
        <w:tc>
          <w:tcPr>
            <w:tcW w:type="dxa" w:w="1461"/>
            <w:vAlign w:val="top"/>
          </w:tcPr>
          <w:p>
            <w:r>
              <w:rPr>
                <w:sz w:val="16"/>
              </w:rPr>
              <w:t>Work-order and inventory data quality cannot support readiness signal</w:t>
            </w:r>
          </w:p>
        </w:tc>
        <w:tc>
          <w:tcPr>
            <w:tcW w:type="dxa" w:w="1461"/>
            <w:vAlign w:val="top"/>
          </w:tcPr>
          <w:p>
            <w:r>
              <w:rPr>
                <w:sz w:val="16"/>
              </w:rPr>
              <w:t>Medium</w:t>
            </w:r>
          </w:p>
        </w:tc>
        <w:tc>
          <w:tcPr>
            <w:tcW w:type="dxa" w:w="1461"/>
            <w:vAlign w:val="top"/>
          </w:tcPr>
          <w:p>
            <w:r>
              <w:rPr>
                <w:sz w:val="16"/>
              </w:rPr>
              <w:t>High</w:t>
            </w:r>
          </w:p>
        </w:tc>
        <w:tc>
          <w:tcPr>
            <w:tcW w:type="dxa" w:w="1461"/>
            <w:vAlign w:val="top"/>
          </w:tcPr>
          <w:p>
            <w:r>
              <w:rPr>
                <w:sz w:val="16"/>
              </w:rPr>
              <w:t>High</w:t>
            </w:r>
          </w:p>
        </w:tc>
        <w:tc>
          <w:tcPr>
            <w:tcW w:type="dxa" w:w="1461"/>
            <w:vAlign w:val="top"/>
          </w:tcPr>
          <w:p>
            <w:r>
              <w:rPr>
                <w:sz w:val="16"/>
              </w:rPr>
              <w:t>Four-week data profile before configuration</w:t>
            </w:r>
          </w:p>
        </w:tc>
        <w:tc>
          <w:tcPr>
            <w:tcW w:type="dxa" w:w="1461"/>
            <w:vAlign w:val="top"/>
          </w:tcPr>
          <w:p>
            <w:r>
              <w:rPr>
                <w:sz w:val="16"/>
              </w:rPr>
              <w:t>Medium</w:t>
            </w:r>
          </w:p>
        </w:tc>
        <w:tc>
          <w:tcPr>
            <w:tcW w:type="dxa" w:w="1461"/>
            <w:vAlign w:val="top"/>
          </w:tcPr>
          <w:p>
            <w:r>
              <w:rPr>
                <w:sz w:val="16"/>
              </w:rPr>
              <w:t>IT operations owner</w:t>
            </w:r>
          </w:p>
        </w:tc>
      </w:tr>
      <w:tr>
        <w:tc>
          <w:tcPr>
            <w:tcW w:type="dxa" w:w="1461"/>
            <w:vAlign w:val="top"/>
          </w:tcPr>
          <w:p>
            <w:r>
              <w:rPr>
                <w:sz w:val="16"/>
              </w:rPr>
              <w:t>Dispatch supervisors bypass readiness gate under pressure</w:t>
            </w:r>
          </w:p>
        </w:tc>
        <w:tc>
          <w:tcPr>
            <w:tcW w:type="dxa" w:w="1461"/>
            <w:vAlign w:val="top"/>
          </w:tcPr>
          <w:p>
            <w:r>
              <w:rPr>
                <w:sz w:val="16"/>
              </w:rPr>
              <w:t>Medium</w:t>
            </w:r>
          </w:p>
        </w:tc>
        <w:tc>
          <w:tcPr>
            <w:tcW w:type="dxa" w:w="1461"/>
            <w:vAlign w:val="top"/>
          </w:tcPr>
          <w:p>
            <w:r>
              <w:rPr>
                <w:sz w:val="16"/>
              </w:rPr>
              <w:t>Medium</w:t>
            </w:r>
          </w:p>
        </w:tc>
        <w:tc>
          <w:tcPr>
            <w:tcW w:type="dxa" w:w="1461"/>
            <w:vAlign w:val="top"/>
          </w:tcPr>
          <w:p>
            <w:r>
              <w:rPr>
                <w:sz w:val="16"/>
              </w:rPr>
              <w:t>Medium</w:t>
            </w:r>
          </w:p>
        </w:tc>
        <w:tc>
          <w:tcPr>
            <w:tcW w:type="dxa" w:w="1461"/>
            <w:vAlign w:val="top"/>
          </w:tcPr>
          <w:p>
            <w:r>
              <w:rPr>
                <w:sz w:val="16"/>
              </w:rPr>
              <w:t>Pilot with supervisor coaching and override tracking</w:t>
            </w:r>
          </w:p>
        </w:tc>
        <w:tc>
          <w:tcPr>
            <w:tcW w:type="dxa" w:w="1461"/>
            <w:vAlign w:val="top"/>
          </w:tcPr>
          <w:p>
            <w:r>
              <w:rPr>
                <w:sz w:val="16"/>
              </w:rPr>
              <w:t>Medium</w:t>
            </w:r>
          </w:p>
        </w:tc>
        <w:tc>
          <w:tcPr>
            <w:tcW w:type="dxa" w:w="1461"/>
            <w:vAlign w:val="top"/>
          </w:tcPr>
          <w:p>
            <w:r>
              <w:rPr>
                <w:sz w:val="16"/>
              </w:rPr>
              <w:t>Field operations director</w:t>
            </w:r>
          </w:p>
        </w:tc>
      </w:tr>
      <w:tr>
        <w:tc>
          <w:tcPr>
            <w:tcW w:type="dxa" w:w="1461"/>
            <w:vAlign w:val="top"/>
          </w:tcPr>
          <w:p>
            <w:r>
              <w:rPr>
                <w:sz w:val="16"/>
              </w:rPr>
              <w:t>Integration estimate is understated</w:t>
            </w:r>
          </w:p>
        </w:tc>
        <w:tc>
          <w:tcPr>
            <w:tcW w:type="dxa" w:w="1461"/>
            <w:vAlign w:val="top"/>
          </w:tcPr>
          <w:p>
            <w:r>
              <w:rPr>
                <w:sz w:val="16"/>
              </w:rPr>
              <w:t>Medium</w:t>
            </w:r>
          </w:p>
        </w:tc>
        <w:tc>
          <w:tcPr>
            <w:tcW w:type="dxa" w:w="1461"/>
            <w:vAlign w:val="top"/>
          </w:tcPr>
          <w:p>
            <w:r>
              <w:rPr>
                <w:sz w:val="16"/>
              </w:rPr>
              <w:t>High</w:t>
            </w:r>
          </w:p>
        </w:tc>
        <w:tc>
          <w:tcPr>
            <w:tcW w:type="dxa" w:w="1461"/>
            <w:vAlign w:val="top"/>
          </w:tcPr>
          <w:p>
            <w:r>
              <w:rPr>
                <w:sz w:val="16"/>
              </w:rPr>
              <w:t>High</w:t>
            </w:r>
          </w:p>
        </w:tc>
        <w:tc>
          <w:tcPr>
            <w:tcW w:type="dxa" w:w="1461"/>
            <w:vAlign w:val="top"/>
          </w:tcPr>
          <w:p>
            <w:r>
              <w:rPr>
                <w:sz w:val="16"/>
              </w:rPr>
              <w:t>Confirm APIs and data refresh needs before vendor commitment</w:t>
            </w:r>
          </w:p>
        </w:tc>
        <w:tc>
          <w:tcPr>
            <w:tcW w:type="dxa" w:w="1461"/>
            <w:vAlign w:val="top"/>
          </w:tcPr>
          <w:p>
            <w:r>
              <w:rPr>
                <w:sz w:val="16"/>
              </w:rPr>
              <w:t>Medium</w:t>
            </w:r>
          </w:p>
        </w:tc>
        <w:tc>
          <w:tcPr>
            <w:tcW w:type="dxa" w:w="1461"/>
            <w:vAlign w:val="top"/>
          </w:tcPr>
          <w:p>
            <w:r>
              <w:rPr>
                <w:sz w:val="16"/>
              </w:rPr>
              <w:t>Technology lead</w:t>
            </w:r>
          </w:p>
        </w:tc>
      </w:tr>
      <w:tr>
        <w:tc>
          <w:tcPr>
            <w:tcW w:type="dxa" w:w="1461"/>
            <w:vAlign w:val="top"/>
          </w:tcPr>
          <w:p>
            <w:r>
              <w:rPr>
                <w:sz w:val="16"/>
              </w:rPr>
              <w:t>Technicians do not trust new schedule commitments</w:t>
            </w:r>
          </w:p>
        </w:tc>
        <w:tc>
          <w:tcPr>
            <w:tcW w:type="dxa" w:w="1461"/>
            <w:vAlign w:val="top"/>
          </w:tcPr>
          <w:p>
            <w:r>
              <w:rPr>
                <w:sz w:val="16"/>
              </w:rPr>
              <w:t>Low</w:t>
            </w:r>
          </w:p>
        </w:tc>
        <w:tc>
          <w:tcPr>
            <w:tcW w:type="dxa" w:w="1461"/>
            <w:vAlign w:val="top"/>
          </w:tcPr>
          <w:p>
            <w:r>
              <w:rPr>
                <w:sz w:val="16"/>
              </w:rPr>
              <w:t>Medium</w:t>
            </w:r>
          </w:p>
        </w:tc>
        <w:tc>
          <w:tcPr>
            <w:tcW w:type="dxa" w:w="1461"/>
            <w:vAlign w:val="top"/>
          </w:tcPr>
          <w:p>
            <w:r>
              <w:rPr>
                <w:sz w:val="16"/>
              </w:rPr>
              <w:t>Low</w:t>
            </w:r>
          </w:p>
        </w:tc>
        <w:tc>
          <w:tcPr>
            <w:tcW w:type="dxa" w:w="1461"/>
            <w:vAlign w:val="top"/>
          </w:tcPr>
          <w:p>
            <w:r>
              <w:rPr>
                <w:sz w:val="16"/>
              </w:rPr>
              <w:t>Include technician feedback in pilot readout</w:t>
            </w:r>
          </w:p>
        </w:tc>
        <w:tc>
          <w:tcPr>
            <w:tcW w:type="dxa" w:w="1461"/>
            <w:vAlign w:val="top"/>
          </w:tcPr>
          <w:p>
            <w:r>
              <w:rPr>
                <w:sz w:val="16"/>
              </w:rPr>
              <w:t>Low</w:t>
            </w:r>
          </w:p>
        </w:tc>
        <w:tc>
          <w:tcPr>
            <w:tcW w:type="dxa" w:w="1461"/>
            <w:vAlign w:val="top"/>
          </w:tcPr>
          <w:p>
            <w:r>
              <w:rPr>
                <w:sz w:val="16"/>
              </w:rPr>
              <w:t>Field manager</w:t>
            </w:r>
          </w:p>
        </w:tc>
      </w:tr>
    </w:tbl>
    <w:p/>
    <w:p>
      <w:pPr>
        <w:pStyle w:val="Heading1"/>
      </w:pPr>
      <w:r>
        <w:t>8.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Pr>
                <w:b/>
                <w:sz w:val="16"/>
              </w:rPr>
              <w:t>Phase</w:t>
            </w:r>
          </w:p>
        </w:tc>
        <w:tc>
          <w:tcPr>
            <w:tcW w:type="dxa" w:w="2556"/>
            <w:shd w:fill="D9EAF7"/>
          </w:tcPr>
          <w:p>
            <w:r>
              <w:rPr>
                <w:b/>
                <w:sz w:val="16"/>
              </w:rPr>
              <w:t>Timeline</w:t>
            </w:r>
          </w:p>
        </w:tc>
        <w:tc>
          <w:tcPr>
            <w:tcW w:type="dxa" w:w="2556"/>
            <w:shd w:fill="D9EAF7"/>
          </w:tcPr>
          <w:p>
            <w:r>
              <w:rPr>
                <w:b/>
                <w:sz w:val="16"/>
              </w:rPr>
              <w:t>Milestone</w:t>
            </w:r>
          </w:p>
        </w:tc>
        <w:tc>
          <w:tcPr>
            <w:tcW w:type="dxa" w:w="2556"/>
            <w:shd w:fill="D9EAF7"/>
          </w:tcPr>
          <w:p>
            <w:r>
              <w:rPr>
                <w:b/>
                <w:sz w:val="16"/>
              </w:rPr>
              <w:t>Key Deliverables</w:t>
            </w:r>
          </w:p>
        </w:tc>
      </w:tr>
      <w:tr>
        <w:tc>
          <w:tcPr>
            <w:tcW w:type="dxa" w:w="2556"/>
            <w:vAlign w:val="top"/>
          </w:tcPr>
          <w:p>
            <w:r>
              <w:rPr>
                <w:sz w:val="16"/>
              </w:rPr>
              <w:t>Phase 1: Validate</w:t>
            </w:r>
          </w:p>
        </w:tc>
        <w:tc>
          <w:tcPr>
            <w:tcW w:type="dxa" w:w="2556"/>
            <w:vAlign w:val="top"/>
          </w:tcPr>
          <w:p>
            <w:r>
              <w:rPr>
                <w:sz w:val="16"/>
              </w:rPr>
              <w:t>Weeks 1-4</w:t>
            </w:r>
          </w:p>
        </w:tc>
        <w:tc>
          <w:tcPr>
            <w:tcW w:type="dxa" w:w="2556"/>
            <w:vAlign w:val="top"/>
          </w:tcPr>
          <w:p>
            <w:r>
              <w:rPr>
                <w:sz w:val="16"/>
              </w:rPr>
              <w:t>Baseline and data validation</w:t>
            </w:r>
          </w:p>
        </w:tc>
        <w:tc>
          <w:tcPr>
            <w:tcW w:type="dxa" w:w="2556"/>
            <w:vAlign w:val="top"/>
          </w:tcPr>
          <w:p>
            <w:r>
              <w:rPr>
                <w:sz w:val="16"/>
              </w:rPr>
              <w:t>Metrics baseline, integration inventory, readiness-rule draft</w:t>
            </w:r>
          </w:p>
        </w:tc>
      </w:tr>
      <w:tr>
        <w:tc>
          <w:tcPr>
            <w:tcW w:type="dxa" w:w="2556"/>
            <w:vAlign w:val="top"/>
          </w:tcPr>
          <w:p>
            <w:r>
              <w:rPr>
                <w:sz w:val="16"/>
              </w:rPr>
              <w:t>Phase 2: Pilot</w:t>
            </w:r>
          </w:p>
        </w:tc>
        <w:tc>
          <w:tcPr>
            <w:tcW w:type="dxa" w:w="2556"/>
            <w:vAlign w:val="top"/>
          </w:tcPr>
          <w:p>
            <w:r>
              <w:rPr>
                <w:sz w:val="16"/>
              </w:rPr>
              <w:t>Weeks 5-12</w:t>
            </w:r>
          </w:p>
        </w:tc>
        <w:tc>
          <w:tcPr>
            <w:tcW w:type="dxa" w:w="2556"/>
            <w:vAlign w:val="top"/>
          </w:tcPr>
          <w:p>
            <w:r>
              <w:rPr>
                <w:sz w:val="16"/>
              </w:rPr>
              <w:t>Three-territory pilot</w:t>
            </w:r>
          </w:p>
        </w:tc>
        <w:tc>
          <w:tcPr>
            <w:tcW w:type="dxa" w:w="2556"/>
            <w:vAlign w:val="top"/>
          </w:tcPr>
          <w:p>
            <w:r>
              <w:rPr>
                <w:sz w:val="16"/>
              </w:rPr>
              <w:t>Readiness signal, supervisor workflow, adoption report</w:t>
            </w:r>
          </w:p>
        </w:tc>
      </w:tr>
      <w:tr>
        <w:tc>
          <w:tcPr>
            <w:tcW w:type="dxa" w:w="2556"/>
            <w:vAlign w:val="top"/>
          </w:tcPr>
          <w:p>
            <w:r>
              <w:rPr>
                <w:sz w:val="16"/>
              </w:rPr>
              <w:t>Phase 3: Scale decision</w:t>
            </w:r>
          </w:p>
        </w:tc>
        <w:tc>
          <w:tcPr>
            <w:tcW w:type="dxa" w:w="2556"/>
            <w:vAlign w:val="top"/>
          </w:tcPr>
          <w:p>
            <w:r>
              <w:rPr>
                <w:sz w:val="16"/>
              </w:rPr>
              <w:t>Month 4</w:t>
            </w:r>
          </w:p>
        </w:tc>
        <w:tc>
          <w:tcPr>
            <w:tcW w:type="dxa" w:w="2556"/>
            <w:vAlign w:val="top"/>
          </w:tcPr>
          <w:p>
            <w:r>
              <w:rPr>
                <w:sz w:val="16"/>
              </w:rPr>
              <w:t>Go / no-go review</w:t>
            </w:r>
          </w:p>
        </w:tc>
        <w:tc>
          <w:tcPr>
            <w:tcW w:type="dxa" w:w="2556"/>
            <w:vAlign w:val="top"/>
          </w:tcPr>
          <w:p>
            <w:r>
              <w:rPr>
                <w:sz w:val="16"/>
              </w:rPr>
              <w:t>Pilot results, revised financial model, rollout plan</w:t>
            </w:r>
          </w:p>
        </w:tc>
      </w:tr>
      <w:tr>
        <w:tc>
          <w:tcPr>
            <w:tcW w:type="dxa" w:w="2556"/>
            <w:vAlign w:val="top"/>
          </w:tcPr>
          <w:p>
            <w:r>
              <w:rPr>
                <w:sz w:val="16"/>
              </w:rPr>
              <w:t>Phase 4: Rollout</w:t>
            </w:r>
          </w:p>
        </w:tc>
        <w:tc>
          <w:tcPr>
            <w:tcW w:type="dxa" w:w="2556"/>
            <w:vAlign w:val="top"/>
          </w:tcPr>
          <w:p>
            <w:r>
              <w:rPr>
                <w:sz w:val="16"/>
              </w:rPr>
              <w:t>Months 5-8</w:t>
            </w:r>
          </w:p>
        </w:tc>
        <w:tc>
          <w:tcPr>
            <w:tcW w:type="dxa" w:w="2556"/>
            <w:vAlign w:val="top"/>
          </w:tcPr>
          <w:p>
            <w:r>
              <w:rPr>
                <w:sz w:val="16"/>
              </w:rPr>
              <w:t>Regional deployment</w:t>
            </w:r>
          </w:p>
        </w:tc>
        <w:tc>
          <w:tcPr>
            <w:tcW w:type="dxa" w:w="2556"/>
            <w:vAlign w:val="top"/>
          </w:tcPr>
          <w:p>
            <w:r>
              <w:rPr>
                <w:sz w:val="16"/>
              </w:rPr>
              <w:t>Training, reporting, governance cadence</w:t>
            </w:r>
          </w:p>
        </w:tc>
      </w:tr>
    </w:tbl>
    <w:p/>
    <w:p>
      <w:pPr>
        <w:pStyle w:val="Heading2"/>
      </w:pPr>
      <w:r>
        <w:t>90-Day Quick Wins</w:t>
      </w:r>
    </w:p>
    <w:p>
      <w:pPr>
        <w:pStyle w:val="ListBullet"/>
      </w:pPr>
      <w:r>
        <w:t>Establish baseline metrics for lost productive hours and reschedule causes.</w:t>
      </w:r>
    </w:p>
    <w:p>
      <w:pPr>
        <w:pStyle w:val="ListBullet"/>
      </w:pPr>
      <w:r>
        <w:t>Create a readiness-rule prototype for three territories.</w:t>
      </w:r>
    </w:p>
    <w:p>
      <w:pPr>
        <w:pStyle w:val="ListBullet"/>
      </w:pPr>
      <w:r>
        <w:t>Reduce manual supervisor reconciliation in pilot territories.</w:t>
      </w:r>
    </w:p>
    <w:p>
      <w:pPr>
        <w:pStyle w:val="Heading1"/>
      </w:pPr>
      <w:r>
        <w:t>9. Governance and Decision Framework</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rPr>
                <w:b/>
                <w:sz w:val="16"/>
              </w:rPr>
              <w:t>Decision Type</w:t>
            </w:r>
          </w:p>
        </w:tc>
        <w:tc>
          <w:tcPr>
            <w:tcW w:type="dxa" w:w="2045"/>
            <w:shd w:fill="D9EAF7"/>
          </w:tcPr>
          <w:p>
            <w:r>
              <w:rPr>
                <w:b/>
                <w:sz w:val="16"/>
              </w:rPr>
              <w:t>Accountable</w:t>
            </w:r>
          </w:p>
        </w:tc>
        <w:tc>
          <w:tcPr>
            <w:tcW w:type="dxa" w:w="2045"/>
            <w:shd w:fill="D9EAF7"/>
          </w:tcPr>
          <w:p>
            <w:r>
              <w:rPr>
                <w:b/>
                <w:sz w:val="16"/>
              </w:rPr>
              <w:t>Responsible</w:t>
            </w:r>
          </w:p>
        </w:tc>
        <w:tc>
          <w:tcPr>
            <w:tcW w:type="dxa" w:w="2045"/>
            <w:shd w:fill="D9EAF7"/>
          </w:tcPr>
          <w:p>
            <w:r>
              <w:rPr>
                <w:b/>
                <w:sz w:val="16"/>
              </w:rPr>
              <w:t>Consulted</w:t>
            </w:r>
          </w:p>
        </w:tc>
        <w:tc>
          <w:tcPr>
            <w:tcW w:type="dxa" w:w="2045"/>
            <w:shd w:fill="D9EAF7"/>
          </w:tcPr>
          <w:p>
            <w:r>
              <w:rPr>
                <w:b/>
                <w:sz w:val="16"/>
              </w:rPr>
              <w:t>Informed</w:t>
            </w:r>
          </w:p>
        </w:tc>
      </w:tr>
      <w:tr>
        <w:tc>
          <w:tcPr>
            <w:tcW w:type="dxa" w:w="2045"/>
            <w:vAlign w:val="top"/>
          </w:tcPr>
          <w:p>
            <w:r>
              <w:rPr>
                <w:sz w:val="16"/>
              </w:rPr>
              <w:t>Phase 1 funding</w:t>
            </w:r>
          </w:p>
        </w:tc>
        <w:tc>
          <w:tcPr>
            <w:tcW w:type="dxa" w:w="2045"/>
            <w:vAlign w:val="top"/>
          </w:tcPr>
          <w:p>
            <w:r>
              <w:rPr>
                <w:sz w:val="16"/>
              </w:rPr>
              <w:t>COO / CFO</w:t>
            </w:r>
          </w:p>
        </w:tc>
        <w:tc>
          <w:tcPr>
            <w:tcW w:type="dxa" w:w="2045"/>
            <w:vAlign w:val="top"/>
          </w:tcPr>
          <w:p>
            <w:r>
              <w:rPr>
                <w:sz w:val="16"/>
              </w:rPr>
              <w:t>Program lead</w:t>
            </w:r>
          </w:p>
        </w:tc>
        <w:tc>
          <w:tcPr>
            <w:tcW w:type="dxa" w:w="2045"/>
            <w:vAlign w:val="top"/>
          </w:tcPr>
          <w:p>
            <w:r>
              <w:rPr>
                <w:sz w:val="16"/>
              </w:rPr>
              <w:t>Field Ops, IT, Finance</w:t>
            </w:r>
          </w:p>
        </w:tc>
        <w:tc>
          <w:tcPr>
            <w:tcW w:type="dxa" w:w="2045"/>
            <w:vAlign w:val="top"/>
          </w:tcPr>
          <w:p>
            <w:r>
              <w:rPr>
                <w:sz w:val="16"/>
              </w:rPr>
              <w:t>Regional managers</w:t>
            </w:r>
          </w:p>
        </w:tc>
      </w:tr>
      <w:tr>
        <w:tc>
          <w:tcPr>
            <w:tcW w:type="dxa" w:w="2045"/>
            <w:vAlign w:val="top"/>
          </w:tcPr>
          <w:p>
            <w:r>
              <w:rPr>
                <w:sz w:val="16"/>
              </w:rPr>
              <w:t>Readiness rule approval</w:t>
            </w:r>
          </w:p>
        </w:tc>
        <w:tc>
          <w:tcPr>
            <w:tcW w:type="dxa" w:w="2045"/>
            <w:vAlign w:val="top"/>
          </w:tcPr>
          <w:p>
            <w:r>
              <w:rPr>
                <w:sz w:val="16"/>
              </w:rPr>
              <w:t>Field Ops Director</w:t>
            </w:r>
          </w:p>
        </w:tc>
        <w:tc>
          <w:tcPr>
            <w:tcW w:type="dxa" w:w="2045"/>
            <w:vAlign w:val="top"/>
          </w:tcPr>
          <w:p>
            <w:r>
              <w:rPr>
                <w:sz w:val="16"/>
              </w:rPr>
              <w:t>Dispatch lead</w:t>
            </w:r>
          </w:p>
        </w:tc>
        <w:tc>
          <w:tcPr>
            <w:tcW w:type="dxa" w:w="2045"/>
            <w:vAlign w:val="top"/>
          </w:tcPr>
          <w:p>
            <w:r>
              <w:rPr>
                <w:sz w:val="16"/>
              </w:rPr>
              <w:t>IT, inventory owner</w:t>
            </w:r>
          </w:p>
        </w:tc>
        <w:tc>
          <w:tcPr>
            <w:tcW w:type="dxa" w:w="2045"/>
            <w:vAlign w:val="top"/>
          </w:tcPr>
          <w:p>
            <w:r>
              <w:rPr>
                <w:sz w:val="16"/>
              </w:rPr>
              <w:t>Technicians</w:t>
            </w:r>
          </w:p>
        </w:tc>
      </w:tr>
      <w:tr>
        <w:tc>
          <w:tcPr>
            <w:tcW w:type="dxa" w:w="2045"/>
            <w:vAlign w:val="top"/>
          </w:tcPr>
          <w:p>
            <w:r>
              <w:rPr>
                <w:sz w:val="16"/>
              </w:rPr>
              <w:t>Integration scope change</w:t>
            </w:r>
          </w:p>
        </w:tc>
        <w:tc>
          <w:tcPr>
            <w:tcW w:type="dxa" w:w="2045"/>
            <w:vAlign w:val="top"/>
          </w:tcPr>
          <w:p>
            <w:r>
              <w:rPr>
                <w:sz w:val="16"/>
              </w:rPr>
              <w:t>Technology lead</w:t>
            </w:r>
          </w:p>
        </w:tc>
        <w:tc>
          <w:tcPr>
            <w:tcW w:type="dxa" w:w="2045"/>
            <w:vAlign w:val="top"/>
          </w:tcPr>
          <w:p>
            <w:r>
              <w:rPr>
                <w:sz w:val="16"/>
              </w:rPr>
              <w:t>IT operations owner</w:t>
            </w:r>
          </w:p>
        </w:tc>
        <w:tc>
          <w:tcPr>
            <w:tcW w:type="dxa" w:w="2045"/>
            <w:vAlign w:val="top"/>
          </w:tcPr>
          <w:p>
            <w:r>
              <w:rPr>
                <w:sz w:val="16"/>
              </w:rPr>
              <w:t>Vendor, Program lead</w:t>
            </w:r>
          </w:p>
        </w:tc>
        <w:tc>
          <w:tcPr>
            <w:tcW w:type="dxa" w:w="2045"/>
            <w:vAlign w:val="top"/>
          </w:tcPr>
          <w:p>
            <w:r>
              <w:rPr>
                <w:sz w:val="16"/>
              </w:rPr>
              <w:t>COO / CFO</w:t>
            </w:r>
          </w:p>
        </w:tc>
      </w:tr>
      <w:tr>
        <w:tc>
          <w:tcPr>
            <w:tcW w:type="dxa" w:w="2045"/>
            <w:vAlign w:val="top"/>
          </w:tcPr>
          <w:p>
            <w:r>
              <w:rPr>
                <w:sz w:val="16"/>
              </w:rPr>
              <w:t>Scale decision</w:t>
            </w:r>
          </w:p>
        </w:tc>
        <w:tc>
          <w:tcPr>
            <w:tcW w:type="dxa" w:w="2045"/>
            <w:vAlign w:val="top"/>
          </w:tcPr>
          <w:p>
            <w:r>
              <w:rPr>
                <w:sz w:val="16"/>
              </w:rPr>
              <w:t>COO / CFO</w:t>
            </w:r>
          </w:p>
        </w:tc>
        <w:tc>
          <w:tcPr>
            <w:tcW w:type="dxa" w:w="2045"/>
            <w:vAlign w:val="top"/>
          </w:tcPr>
          <w:p>
            <w:r>
              <w:rPr>
                <w:sz w:val="16"/>
              </w:rPr>
              <w:t>Program lead</w:t>
            </w:r>
          </w:p>
        </w:tc>
        <w:tc>
          <w:tcPr>
            <w:tcW w:type="dxa" w:w="2045"/>
            <w:vAlign w:val="top"/>
          </w:tcPr>
          <w:p>
            <w:r>
              <w:rPr>
                <w:sz w:val="16"/>
              </w:rPr>
              <w:t>Field Ops, IT, Finance</w:t>
            </w:r>
          </w:p>
        </w:tc>
        <w:tc>
          <w:tcPr>
            <w:tcW w:type="dxa" w:w="2045"/>
            <w:vAlign w:val="top"/>
          </w:tcPr>
          <w:p>
            <w:r>
              <w:rPr>
                <w:sz w:val="16"/>
              </w:rPr>
              <w:t>Executive team</w:t>
            </w:r>
          </w:p>
        </w:tc>
      </w:tr>
    </w:tbl>
    <w:p/>
    <w:p>
      <w:pPr>
        <w:pStyle w:val="Heading2"/>
      </w:pPr>
      <w:r>
        <w:t>Success Metrics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tcPr>
          <w:p>
            <w:r>
              <w:rPr>
                <w:b/>
                <w:sz w:val="16"/>
              </w:rPr>
              <w:t>Metric</w:t>
            </w:r>
          </w:p>
        </w:tc>
        <w:tc>
          <w:tcPr>
            <w:tcW w:type="dxa" w:w="2045"/>
            <w:shd w:fill="D9EAF7"/>
          </w:tcPr>
          <w:p>
            <w:r>
              <w:rPr>
                <w:b/>
                <w:sz w:val="16"/>
              </w:rPr>
              <w:t>Baseline</w:t>
            </w:r>
          </w:p>
        </w:tc>
        <w:tc>
          <w:tcPr>
            <w:tcW w:type="dxa" w:w="2045"/>
            <w:shd w:fill="D9EAF7"/>
          </w:tcPr>
          <w:p>
            <w:r>
              <w:rPr>
                <w:b/>
                <w:sz w:val="16"/>
              </w:rPr>
              <w:t>Target</w:t>
            </w:r>
          </w:p>
        </w:tc>
        <w:tc>
          <w:tcPr>
            <w:tcW w:type="dxa" w:w="2045"/>
            <w:shd w:fill="D9EAF7"/>
          </w:tcPr>
          <w:p>
            <w:r>
              <w:rPr>
                <w:b/>
                <w:sz w:val="16"/>
              </w:rPr>
              <w:t>Cadence</w:t>
            </w:r>
          </w:p>
        </w:tc>
        <w:tc>
          <w:tcPr>
            <w:tcW w:type="dxa" w:w="2045"/>
            <w:shd w:fill="D9EAF7"/>
          </w:tcPr>
          <w:p>
            <w:r>
              <w:rPr>
                <w:b/>
                <w:sz w:val="16"/>
              </w:rPr>
              <w:t>Owner</w:t>
            </w:r>
          </w:p>
        </w:tc>
      </w:tr>
      <w:tr>
        <w:tc>
          <w:tcPr>
            <w:tcW w:type="dxa" w:w="2045"/>
            <w:vAlign w:val="top"/>
          </w:tcPr>
          <w:p>
            <w:r>
              <w:rPr>
                <w:sz w:val="16"/>
              </w:rPr>
              <w:t>Lost productive hours / technician / month</w:t>
            </w:r>
          </w:p>
        </w:tc>
        <w:tc>
          <w:tcPr>
            <w:tcW w:type="dxa" w:w="2045"/>
            <w:vAlign w:val="top"/>
          </w:tcPr>
          <w:p>
            <w:r>
              <w:rPr>
                <w:sz w:val="16"/>
              </w:rPr>
              <w:t>6.5</w:t>
            </w:r>
          </w:p>
        </w:tc>
        <w:tc>
          <w:tcPr>
            <w:tcW w:type="dxa" w:w="2045"/>
            <w:vAlign w:val="top"/>
          </w:tcPr>
          <w:p>
            <w:r>
              <w:rPr>
                <w:sz w:val="16"/>
              </w:rPr>
              <w:t>2.0</w:t>
            </w:r>
          </w:p>
        </w:tc>
        <w:tc>
          <w:tcPr>
            <w:tcW w:type="dxa" w:w="2045"/>
            <w:vAlign w:val="top"/>
          </w:tcPr>
          <w:p>
            <w:r>
              <w:rPr>
                <w:sz w:val="16"/>
              </w:rPr>
              <w:t>Monthly</w:t>
            </w:r>
          </w:p>
        </w:tc>
        <w:tc>
          <w:tcPr>
            <w:tcW w:type="dxa" w:w="2045"/>
            <w:vAlign w:val="top"/>
          </w:tcPr>
          <w:p>
            <w:r>
              <w:rPr>
                <w:sz w:val="16"/>
              </w:rPr>
              <w:t>Field operations director</w:t>
            </w:r>
          </w:p>
        </w:tc>
      </w:tr>
      <w:tr>
        <w:tc>
          <w:tcPr>
            <w:tcW w:type="dxa" w:w="2045"/>
            <w:vAlign w:val="top"/>
          </w:tcPr>
          <w:p>
            <w:r>
              <w:rPr>
                <w:sz w:val="16"/>
              </w:rPr>
              <w:t>Emergency reschedule rate</w:t>
            </w:r>
          </w:p>
        </w:tc>
        <w:tc>
          <w:tcPr>
            <w:tcW w:type="dxa" w:w="2045"/>
            <w:vAlign w:val="top"/>
          </w:tcPr>
          <w:p>
            <w:r>
              <w:rPr>
                <w:sz w:val="16"/>
              </w:rPr>
              <w:t>18%</w:t>
            </w:r>
          </w:p>
        </w:tc>
        <w:tc>
          <w:tcPr>
            <w:tcW w:type="dxa" w:w="2045"/>
            <w:vAlign w:val="top"/>
          </w:tcPr>
          <w:p>
            <w:r>
              <w:rPr>
                <w:sz w:val="16"/>
              </w:rPr>
              <w:t>8%</w:t>
            </w:r>
          </w:p>
        </w:tc>
        <w:tc>
          <w:tcPr>
            <w:tcW w:type="dxa" w:w="2045"/>
            <w:vAlign w:val="top"/>
          </w:tcPr>
          <w:p>
            <w:r>
              <w:rPr>
                <w:sz w:val="16"/>
              </w:rPr>
              <w:t>Monthly</w:t>
            </w:r>
          </w:p>
        </w:tc>
        <w:tc>
          <w:tcPr>
            <w:tcW w:type="dxa" w:w="2045"/>
            <w:vAlign w:val="top"/>
          </w:tcPr>
          <w:p>
            <w:r>
              <w:rPr>
                <w:sz w:val="16"/>
              </w:rPr>
              <w:t>Dispatch lead</w:t>
            </w:r>
          </w:p>
        </w:tc>
      </w:tr>
      <w:tr>
        <w:tc>
          <w:tcPr>
            <w:tcW w:type="dxa" w:w="2045"/>
            <w:vAlign w:val="top"/>
          </w:tcPr>
          <w:p>
            <w:r>
              <w:rPr>
                <w:sz w:val="16"/>
              </w:rPr>
              <w:t>Parts-not-ready delay rate</w:t>
            </w:r>
          </w:p>
        </w:tc>
        <w:tc>
          <w:tcPr>
            <w:tcW w:type="dxa" w:w="2045"/>
            <w:vAlign w:val="top"/>
          </w:tcPr>
          <w:p>
            <w:r>
              <w:rPr>
                <w:sz w:val="16"/>
              </w:rPr>
              <w:t>14%</w:t>
            </w:r>
          </w:p>
        </w:tc>
        <w:tc>
          <w:tcPr>
            <w:tcW w:type="dxa" w:w="2045"/>
            <w:vAlign w:val="top"/>
          </w:tcPr>
          <w:p>
            <w:r>
              <w:rPr>
                <w:sz w:val="16"/>
              </w:rPr>
              <w:t>5%</w:t>
            </w:r>
          </w:p>
        </w:tc>
        <w:tc>
          <w:tcPr>
            <w:tcW w:type="dxa" w:w="2045"/>
            <w:vAlign w:val="top"/>
          </w:tcPr>
          <w:p>
            <w:r>
              <w:rPr>
                <w:sz w:val="16"/>
              </w:rPr>
              <w:t>Monthly</w:t>
            </w:r>
          </w:p>
        </w:tc>
        <w:tc>
          <w:tcPr>
            <w:tcW w:type="dxa" w:w="2045"/>
            <w:vAlign w:val="top"/>
          </w:tcPr>
          <w:p>
            <w:r>
              <w:rPr>
                <w:sz w:val="16"/>
              </w:rPr>
              <w:t>Inventory operations owner</w:t>
            </w:r>
          </w:p>
        </w:tc>
      </w:tr>
    </w:tbl>
    <w:p/>
    <w:p>
      <w:pPr>
        <w:pStyle w:val="Heading1"/>
      </w:pPr>
      <w:r>
        <w:t>10. Recommendation and Call to Action</w:t>
      </w:r>
    </w:p>
    <w:p>
      <w:pPr>
        <w:pStyle w:val="Heading2"/>
      </w:pPr>
      <w:r>
        <w:t>Recommendation</w:t>
      </w:r>
    </w:p>
    <w:p>
      <w:r>
        <w:t>Approve a phased readiness signal and dispatch workflow modernization program beginning with a 90-day pilot.</w:t>
      </w:r>
    </w:p>
    <w:p>
      <w:pPr>
        <w:pStyle w:val="Heading2"/>
      </w:pPr>
      <w:r>
        <w:t>Decision Requested</w:t>
      </w:r>
    </w:p>
    <w:p>
      <w:r>
        <w:t>We request approval from the COO and CFO by June 30, 2026 to authorize Phase 1 and fund the pilot at a total initial investment of $620,000 one-time plus $180,000 annual recurring cost.</w:t>
      </w:r>
    </w:p>
    <w:p>
      <w:pPr>
        <w:pStyle w:val="Heading2"/>
      </w:pPr>
      <w:r>
        <w:t>Consequence of Delay</w:t>
      </w:r>
    </w:p>
    <w:p>
      <w:r>
        <w:t>Delaying approval past June 30, 2026 would push benefit realization into the next planning cycle and preserve the current productivity leakage for at least one additional quarter.</w:t>
      </w:r>
    </w:p>
    <w:p>
      <w:pPr>
        <w:pStyle w:val="Heading2"/>
      </w:pPr>
      <w:r>
        <w:t>Next Steps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6"/>
              </w:rPr>
              <w:t>Action</w:t>
            </w:r>
          </w:p>
        </w:tc>
        <w:tc>
          <w:tcPr>
            <w:tcW w:type="dxa" w:w="3408"/>
            <w:shd w:fill="D9EAF7"/>
          </w:tcPr>
          <w:p>
            <w:r>
              <w:rPr>
                <w:b/>
                <w:sz w:val="16"/>
              </w:rPr>
              <w:t>Owner</w:t>
            </w:r>
          </w:p>
        </w:tc>
        <w:tc>
          <w:tcPr>
            <w:tcW w:type="dxa" w:w="3408"/>
            <w:shd w:fill="D9EAF7"/>
          </w:tcPr>
          <w:p>
            <w:r>
              <w:rPr>
                <w:b/>
                <w:sz w:val="16"/>
              </w:rPr>
              <w:t>Timing</w:t>
            </w:r>
          </w:p>
        </w:tc>
      </w:tr>
      <w:tr>
        <w:tc>
          <w:tcPr>
            <w:tcW w:type="dxa" w:w="3408"/>
            <w:vAlign w:val="top"/>
          </w:tcPr>
          <w:p>
            <w:r>
              <w:rPr>
                <w:sz w:val="16"/>
              </w:rPr>
              <w:t>Validate baseline metrics</w:t>
            </w:r>
          </w:p>
        </w:tc>
        <w:tc>
          <w:tcPr>
            <w:tcW w:type="dxa" w:w="3408"/>
            <w:vAlign w:val="top"/>
          </w:tcPr>
          <w:p>
            <w:r>
              <w:rPr>
                <w:sz w:val="16"/>
              </w:rPr>
              <w:t>Program lead and Finance partner</w:t>
            </w:r>
          </w:p>
        </w:tc>
        <w:tc>
          <w:tcPr>
            <w:tcW w:type="dxa" w:w="3408"/>
            <w:vAlign w:val="top"/>
          </w:tcPr>
          <w:p>
            <w:r>
              <w:rPr>
                <w:sz w:val="16"/>
              </w:rPr>
              <w:t>Within 10 business days of approval</w:t>
            </w:r>
          </w:p>
        </w:tc>
      </w:tr>
      <w:tr>
        <w:tc>
          <w:tcPr>
            <w:tcW w:type="dxa" w:w="3408"/>
            <w:vAlign w:val="top"/>
          </w:tcPr>
          <w:p>
            <w:r>
              <w:rPr>
                <w:sz w:val="16"/>
              </w:rPr>
              <w:t>Confirm integration feasibility</w:t>
            </w:r>
          </w:p>
        </w:tc>
        <w:tc>
          <w:tcPr>
            <w:tcW w:type="dxa" w:w="3408"/>
            <w:vAlign w:val="top"/>
          </w:tcPr>
          <w:p>
            <w:r>
              <w:rPr>
                <w:sz w:val="16"/>
              </w:rPr>
              <w:t>Technology lead</w:t>
            </w:r>
          </w:p>
        </w:tc>
        <w:tc>
          <w:tcPr>
            <w:tcW w:type="dxa" w:w="3408"/>
            <w:vAlign w:val="top"/>
          </w:tcPr>
          <w:p>
            <w:r>
              <w:rPr>
                <w:sz w:val="16"/>
              </w:rPr>
              <w:t>Within 20 business days of approval</w:t>
            </w:r>
          </w:p>
        </w:tc>
      </w:tr>
      <w:tr>
        <w:tc>
          <w:tcPr>
            <w:tcW w:type="dxa" w:w="3408"/>
            <w:vAlign w:val="top"/>
          </w:tcPr>
          <w:p>
            <w:r>
              <w:rPr>
                <w:sz w:val="16"/>
              </w:rPr>
              <w:t>Launch three-territory pilot</w:t>
            </w:r>
          </w:p>
        </w:tc>
        <w:tc>
          <w:tcPr>
            <w:tcW w:type="dxa" w:w="3408"/>
            <w:vAlign w:val="top"/>
          </w:tcPr>
          <w:p>
            <w:r>
              <w:rPr>
                <w:sz w:val="16"/>
              </w:rPr>
              <w:t>Field operations director</w:t>
            </w:r>
          </w:p>
        </w:tc>
        <w:tc>
          <w:tcPr>
            <w:tcW w:type="dxa" w:w="3408"/>
            <w:vAlign w:val="top"/>
          </w:tcPr>
          <w:p>
            <w:r>
              <w:rPr>
                <w:sz w:val="16"/>
              </w:rPr>
              <w:t>Within 45 business days of approval</w:t>
            </w:r>
          </w:p>
        </w:tc>
      </w:tr>
    </w:tbl>
    <w:p/>
    <w:p>
      <w:pPr>
        <w:pStyle w:val="Heading1"/>
      </w:pPr>
      <w:r>
        <w:t>Drafting Notes</w:t>
      </w:r>
    </w:p>
    <w:p>
      <w:r>
        <w:t>This is a synthetic sample. All numbers are fictional and should not be treated as benchmarks. The strongest sections are problem framing, options discipline, and risk clarity. The weakest areas before real use would be finance validation, actual system integration evidence, and confirmed stakeholder support.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