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1E34" w14:textId="26E866F9" w:rsidR="00902927" w:rsidRDefault="00902927" w:rsidP="00902927">
      <w:pPr>
        <w:spacing w:after="0" w:line="360" w:lineRule="auto"/>
        <w:jc w:val="center"/>
        <w:rPr>
          <w:rFonts w:ascii="Arial" w:eastAsia="Times New Roman" w:hAnsi="Arial" w:cs="Arial"/>
          <w:b/>
          <w:bCs/>
          <w:color w:val="000000"/>
          <w:sz w:val="24"/>
          <w:szCs w:val="24"/>
          <w:shd w:val="clear" w:color="auto" w:fill="FFFFFF"/>
          <w:lang w:eastAsia="en-IN"/>
        </w:rPr>
      </w:pPr>
      <w:r>
        <w:rPr>
          <w:rFonts w:ascii="Arial" w:eastAsia="Times New Roman" w:hAnsi="Arial" w:cs="Arial"/>
          <w:b/>
          <w:bCs/>
          <w:color w:val="000000"/>
          <w:sz w:val="24"/>
          <w:szCs w:val="24"/>
          <w:shd w:val="clear" w:color="auto" w:fill="FFFFFF"/>
          <w:lang w:eastAsia="en-IN"/>
        </w:rPr>
        <w:t>NITI Aayog</w:t>
      </w:r>
    </w:p>
    <w:p w14:paraId="597270A1" w14:textId="3CC332E7" w:rsidR="0000083D" w:rsidRDefault="00902927" w:rsidP="00902927">
      <w:pPr>
        <w:spacing w:after="0" w:line="360" w:lineRule="auto"/>
        <w:jc w:val="center"/>
        <w:rPr>
          <w:rFonts w:ascii="Arial" w:eastAsia="Times New Roman" w:hAnsi="Arial" w:cs="Arial"/>
          <w:b/>
          <w:bCs/>
          <w:color w:val="000000"/>
          <w:sz w:val="24"/>
          <w:szCs w:val="24"/>
          <w:shd w:val="clear" w:color="auto" w:fill="FFFFFF"/>
          <w:lang w:eastAsia="en-IN"/>
        </w:rPr>
      </w:pPr>
      <w:r w:rsidRPr="00902927">
        <w:rPr>
          <w:rFonts w:ascii="Arial" w:eastAsia="Times New Roman" w:hAnsi="Arial" w:cs="Arial"/>
          <w:b/>
          <w:bCs/>
          <w:color w:val="000000"/>
          <w:sz w:val="24"/>
          <w:szCs w:val="24"/>
          <w:shd w:val="clear" w:color="auto" w:fill="FFFFFF"/>
          <w:lang w:eastAsia="en-IN"/>
        </w:rPr>
        <w:t xml:space="preserve">NITI-RMI Report on </w:t>
      </w:r>
      <w:r w:rsidRPr="00902927">
        <w:rPr>
          <w:rFonts w:ascii="Arial" w:eastAsia="Times New Roman" w:hAnsi="Arial" w:cs="Arial"/>
          <w:b/>
          <w:bCs/>
          <w:color w:val="000000"/>
          <w:sz w:val="24"/>
          <w:szCs w:val="24"/>
          <w:shd w:val="clear" w:color="auto" w:fill="FFFFFF"/>
          <w:lang w:eastAsia="en-IN"/>
        </w:rPr>
        <w:t>A Blueprint for Inclusion of EVs in Priority</w:t>
      </w:r>
      <w:r w:rsidRPr="00902927">
        <w:rPr>
          <w:rFonts w:ascii="Arial" w:eastAsia="Times New Roman" w:hAnsi="Arial" w:cs="Arial"/>
          <w:b/>
          <w:bCs/>
          <w:color w:val="000000"/>
          <w:sz w:val="24"/>
          <w:szCs w:val="24"/>
          <w:shd w:val="clear" w:color="auto" w:fill="FFFFFF"/>
          <w:lang w:eastAsia="en-IN"/>
        </w:rPr>
        <w:cr/>
        <w:t>Sector Lending Guidelines</w:t>
      </w:r>
    </w:p>
    <w:p w14:paraId="27849698" w14:textId="7D5306EA" w:rsidR="00902927" w:rsidRPr="00902927" w:rsidRDefault="00902927" w:rsidP="00902927">
      <w:pPr>
        <w:spacing w:after="0" w:line="360" w:lineRule="auto"/>
        <w:jc w:val="center"/>
        <w:rPr>
          <w:rFonts w:ascii="Arial" w:eastAsia="Times New Roman" w:hAnsi="Arial" w:cs="Arial"/>
          <w:b/>
          <w:bCs/>
          <w:color w:val="000000"/>
          <w:sz w:val="24"/>
          <w:szCs w:val="24"/>
          <w:shd w:val="clear" w:color="auto" w:fill="FFFFFF"/>
          <w:lang w:eastAsia="en-IN"/>
        </w:rPr>
      </w:pPr>
      <w:r>
        <w:rPr>
          <w:rFonts w:ascii="Arial" w:eastAsia="Times New Roman" w:hAnsi="Arial" w:cs="Arial"/>
          <w:b/>
          <w:bCs/>
          <w:color w:val="000000"/>
          <w:sz w:val="24"/>
          <w:szCs w:val="24"/>
          <w:shd w:val="clear" w:color="auto" w:fill="FFFFFF"/>
          <w:lang w:eastAsia="en-IN"/>
        </w:rPr>
        <w:t>Relevant to LMM</w:t>
      </w:r>
    </w:p>
    <w:p w14:paraId="4AF0BDE1" w14:textId="4CC05C06" w:rsidR="00902927" w:rsidRPr="00902927" w:rsidRDefault="00902927" w:rsidP="00902927">
      <w:pPr>
        <w:spacing w:after="0" w:line="240" w:lineRule="auto"/>
        <w:jc w:val="both"/>
        <w:rPr>
          <w:rFonts w:ascii="Arial" w:eastAsia="Times New Roman" w:hAnsi="Arial" w:cs="Arial"/>
          <w:b/>
          <w:bCs/>
          <w:color w:val="000099"/>
          <w:sz w:val="24"/>
          <w:szCs w:val="24"/>
          <w:shd w:val="clear" w:color="auto" w:fill="FFFFFF"/>
          <w:lang w:eastAsia="en-IN"/>
        </w:rPr>
      </w:pPr>
      <w:r w:rsidRPr="00902927">
        <w:rPr>
          <w:rFonts w:ascii="Arial" w:eastAsia="Times New Roman" w:hAnsi="Arial" w:cs="Arial"/>
          <w:b/>
          <w:bCs/>
          <w:color w:val="000099"/>
          <w:sz w:val="24"/>
          <w:szCs w:val="24"/>
          <w:shd w:val="clear" w:color="auto" w:fill="FFFFFF"/>
          <w:lang w:eastAsia="en-IN"/>
        </w:rPr>
        <w:t>Context</w:t>
      </w:r>
    </w:p>
    <w:p w14:paraId="62E85FDA" w14:textId="77777777" w:rsidR="00902927" w:rsidRDefault="00902927" w:rsidP="00902927">
      <w:pPr>
        <w:spacing w:after="0" w:line="240" w:lineRule="auto"/>
        <w:jc w:val="both"/>
        <w:rPr>
          <w:rFonts w:ascii="Arial" w:eastAsia="Times New Roman" w:hAnsi="Arial" w:cs="Arial"/>
          <w:color w:val="000000"/>
          <w:sz w:val="24"/>
          <w:szCs w:val="24"/>
          <w:shd w:val="clear" w:color="auto" w:fill="FFFFFF"/>
          <w:lang w:eastAsia="en-IN"/>
        </w:rPr>
      </w:pPr>
    </w:p>
    <w:p w14:paraId="0D86E69E" w14:textId="0A972162" w:rsidR="00902927" w:rsidRPr="00902927" w:rsidRDefault="0000083D" w:rsidP="00607BC9">
      <w:pPr>
        <w:spacing w:after="0" w:line="360" w:lineRule="auto"/>
        <w:contextualSpacing/>
        <w:jc w:val="both"/>
        <w:rPr>
          <w:rFonts w:ascii="Arial" w:eastAsia="Times New Roman" w:hAnsi="Arial" w:cs="Arial"/>
          <w:color w:val="000000"/>
          <w:sz w:val="24"/>
          <w:szCs w:val="24"/>
          <w:shd w:val="clear" w:color="auto" w:fill="FFFFFF"/>
          <w:lang w:eastAsia="en-IN"/>
        </w:rPr>
      </w:pPr>
      <w:r w:rsidRPr="0000083D">
        <w:rPr>
          <w:rFonts w:ascii="Arial" w:eastAsia="Times New Roman" w:hAnsi="Arial" w:cs="Arial"/>
          <w:color w:val="000000"/>
          <w:sz w:val="24"/>
          <w:szCs w:val="24"/>
          <w:shd w:val="clear" w:color="auto" w:fill="FFFFFF"/>
          <w:lang w:eastAsia="en-IN"/>
        </w:rPr>
        <w:t>Niti Aayog has proposed inclusion of electric vehicles in the Reserve Bank of India's priority-sector lending guidelines</w:t>
      </w:r>
      <w:r>
        <w:rPr>
          <w:rFonts w:ascii="Arial" w:eastAsia="Times New Roman" w:hAnsi="Arial" w:cs="Arial"/>
          <w:color w:val="000000"/>
          <w:sz w:val="24"/>
          <w:szCs w:val="24"/>
          <w:shd w:val="clear" w:color="auto" w:fill="FFFFFF"/>
          <w:lang w:eastAsia="en-IN"/>
        </w:rPr>
        <w:t xml:space="preserve"> to </w:t>
      </w:r>
      <w:r w:rsidRPr="0000083D">
        <w:rPr>
          <w:rFonts w:ascii="Arial" w:eastAsia="Times New Roman" w:hAnsi="Arial" w:cs="Arial"/>
          <w:color w:val="000000"/>
          <w:sz w:val="24"/>
          <w:szCs w:val="24"/>
          <w:shd w:val="clear" w:color="auto" w:fill="FFFFFF"/>
          <w:lang w:eastAsia="en-IN"/>
        </w:rPr>
        <w:t>give a significant push to retail lending for EVs.</w:t>
      </w:r>
      <w:r w:rsidR="00902927">
        <w:rPr>
          <w:rFonts w:ascii="Arial" w:eastAsia="Times New Roman" w:hAnsi="Arial" w:cs="Arial"/>
          <w:color w:val="000000"/>
          <w:sz w:val="24"/>
          <w:szCs w:val="24"/>
          <w:shd w:val="clear" w:color="auto" w:fill="FFFFFF"/>
          <w:lang w:eastAsia="en-IN"/>
        </w:rPr>
        <w:t xml:space="preserve"> </w:t>
      </w:r>
      <w:r w:rsidR="00902927" w:rsidRPr="00902927">
        <w:rPr>
          <w:rFonts w:ascii="Arial" w:eastAsia="Times New Roman" w:hAnsi="Arial" w:cs="Arial"/>
          <w:color w:val="000000"/>
          <w:sz w:val="24"/>
          <w:szCs w:val="24"/>
          <w:shd w:val="clear" w:color="auto" w:fill="FFFFFF"/>
          <w:lang w:eastAsia="en-IN"/>
        </w:rPr>
        <w:t>Cumulative investment in India’s electric vehicle (EV) transition could be as much as $S266 billion between 2020 and 2030. Although public and private sector initiatives are accelerating capital deployment to meet this potential, retail lending to support the financing of EVs has been slow to pick up.</w:t>
      </w:r>
    </w:p>
    <w:p w14:paraId="0B49FD44" w14:textId="77777777" w:rsidR="00902927" w:rsidRPr="00902927" w:rsidRDefault="00902927" w:rsidP="00607BC9">
      <w:pPr>
        <w:spacing w:after="0" w:line="360" w:lineRule="auto"/>
        <w:contextualSpacing/>
        <w:jc w:val="both"/>
        <w:rPr>
          <w:rFonts w:ascii="Arial" w:eastAsia="Times New Roman" w:hAnsi="Arial" w:cs="Arial"/>
          <w:color w:val="000000"/>
          <w:sz w:val="24"/>
          <w:szCs w:val="24"/>
          <w:shd w:val="clear" w:color="auto" w:fill="FFFFFF"/>
          <w:lang w:eastAsia="en-IN"/>
        </w:rPr>
      </w:pPr>
    </w:p>
    <w:p w14:paraId="3085C038" w14:textId="77777777" w:rsidR="00902927" w:rsidRPr="00902927" w:rsidRDefault="00902927" w:rsidP="00607BC9">
      <w:pPr>
        <w:spacing w:after="0" w:line="360" w:lineRule="auto"/>
        <w:contextualSpacing/>
        <w:jc w:val="both"/>
        <w:rPr>
          <w:rFonts w:ascii="Arial" w:eastAsia="Times New Roman" w:hAnsi="Arial" w:cs="Arial"/>
          <w:color w:val="000000"/>
          <w:sz w:val="24"/>
          <w:szCs w:val="24"/>
          <w:shd w:val="clear" w:color="auto" w:fill="FFFFFF"/>
          <w:lang w:eastAsia="en-IN"/>
        </w:rPr>
      </w:pPr>
      <w:r w:rsidRPr="00902927">
        <w:rPr>
          <w:rFonts w:ascii="Arial" w:eastAsia="Times New Roman" w:hAnsi="Arial" w:cs="Arial"/>
          <w:color w:val="000000"/>
          <w:sz w:val="24"/>
          <w:szCs w:val="24"/>
          <w:shd w:val="clear" w:color="auto" w:fill="FFFFFF"/>
          <w:lang w:eastAsia="en-IN"/>
        </w:rPr>
        <w:t>Banks and non-banking finance companies currently hesitate to lend for EVs due to perceived and real asset and business model risks. As a result, if financing is available, EV buyers are unable to obtain interest rates and tenures that are comparable to internal combustion engine vehicles. This has created the need for a regulatory measure that can mainstream financing of EVs.</w:t>
      </w:r>
    </w:p>
    <w:p w14:paraId="162BE5C2" w14:textId="77777777" w:rsidR="00902927" w:rsidRPr="00902927" w:rsidRDefault="00902927" w:rsidP="00607BC9">
      <w:pPr>
        <w:spacing w:after="0" w:line="360" w:lineRule="auto"/>
        <w:contextualSpacing/>
        <w:jc w:val="both"/>
        <w:rPr>
          <w:rFonts w:ascii="Arial" w:eastAsia="Times New Roman" w:hAnsi="Arial" w:cs="Arial"/>
          <w:color w:val="000000"/>
          <w:sz w:val="24"/>
          <w:szCs w:val="24"/>
          <w:shd w:val="clear" w:color="auto" w:fill="FFFFFF"/>
          <w:lang w:eastAsia="en-IN"/>
        </w:rPr>
      </w:pPr>
    </w:p>
    <w:p w14:paraId="59CE3DA2" w14:textId="2D1A0CE8" w:rsidR="0000083D" w:rsidRDefault="00902927" w:rsidP="00607BC9">
      <w:pPr>
        <w:spacing w:after="0" w:line="360" w:lineRule="auto"/>
        <w:contextualSpacing/>
        <w:jc w:val="both"/>
        <w:rPr>
          <w:rFonts w:ascii="Arial" w:eastAsia="Times New Roman" w:hAnsi="Arial" w:cs="Arial"/>
          <w:color w:val="000000"/>
          <w:sz w:val="24"/>
          <w:szCs w:val="24"/>
          <w:shd w:val="clear" w:color="auto" w:fill="FFFFFF"/>
          <w:lang w:eastAsia="en-IN"/>
        </w:rPr>
      </w:pPr>
      <w:r w:rsidRPr="00902927">
        <w:rPr>
          <w:rFonts w:ascii="Arial" w:eastAsia="Times New Roman" w:hAnsi="Arial" w:cs="Arial"/>
          <w:color w:val="000000"/>
          <w:sz w:val="24"/>
          <w:szCs w:val="24"/>
          <w:shd w:val="clear" w:color="auto" w:fill="FFFFFF"/>
          <w:lang w:eastAsia="en-IN"/>
        </w:rPr>
        <w:t>This report outlines the potential of investing in EVs in India. It provides context on the structure, mechanics and history of private sector lending, recommendations to inform the inclusion of EVs in private sector lending guidelines, and actions needed to implement and ensure success of EVs as a priority sector.</w:t>
      </w:r>
    </w:p>
    <w:p w14:paraId="4623BCE6" w14:textId="77777777" w:rsidR="0000083D" w:rsidRDefault="0000083D" w:rsidP="00607BC9">
      <w:pPr>
        <w:spacing w:after="0" w:line="360" w:lineRule="auto"/>
        <w:contextualSpacing/>
        <w:jc w:val="both"/>
        <w:rPr>
          <w:rFonts w:ascii="Arial" w:eastAsia="Times New Roman" w:hAnsi="Arial" w:cs="Arial"/>
          <w:color w:val="000000"/>
          <w:sz w:val="24"/>
          <w:szCs w:val="24"/>
          <w:shd w:val="clear" w:color="auto" w:fill="FFFFFF"/>
          <w:lang w:eastAsia="en-IN"/>
        </w:rPr>
      </w:pPr>
    </w:p>
    <w:p w14:paraId="7EDC9AD4" w14:textId="554F82E7" w:rsidR="00F516CF" w:rsidRPr="00607BC9" w:rsidRDefault="00F516CF" w:rsidP="00C40881">
      <w:pPr>
        <w:spacing w:after="0" w:line="240" w:lineRule="auto"/>
        <w:jc w:val="both"/>
        <w:rPr>
          <w:rFonts w:ascii="Arial" w:eastAsia="Times New Roman" w:hAnsi="Arial" w:cs="Arial"/>
          <w:b/>
          <w:bCs/>
          <w:color w:val="000099"/>
          <w:sz w:val="24"/>
          <w:szCs w:val="24"/>
          <w:shd w:val="clear" w:color="auto" w:fill="FFFFFF"/>
          <w:lang w:eastAsia="en-IN"/>
        </w:rPr>
      </w:pPr>
      <w:r w:rsidRPr="00607BC9">
        <w:rPr>
          <w:rFonts w:ascii="Arial" w:eastAsia="Times New Roman" w:hAnsi="Arial" w:cs="Arial"/>
          <w:b/>
          <w:bCs/>
          <w:color w:val="000099"/>
          <w:sz w:val="24"/>
          <w:szCs w:val="24"/>
          <w:shd w:val="clear" w:color="auto" w:fill="FFFFFF"/>
          <w:lang w:eastAsia="en-IN"/>
        </w:rPr>
        <w:t>Objective</w:t>
      </w:r>
    </w:p>
    <w:p w14:paraId="7BA671E2" w14:textId="750480B2" w:rsidR="00F516CF" w:rsidRDefault="00F516CF" w:rsidP="00C40881">
      <w:pPr>
        <w:spacing w:after="0" w:line="240" w:lineRule="auto"/>
        <w:jc w:val="both"/>
        <w:rPr>
          <w:rFonts w:ascii="Arial" w:eastAsia="Times New Roman" w:hAnsi="Arial" w:cs="Arial"/>
          <w:color w:val="000000"/>
          <w:sz w:val="24"/>
          <w:szCs w:val="24"/>
          <w:shd w:val="clear" w:color="auto" w:fill="FFFFFF"/>
          <w:lang w:eastAsia="en-IN"/>
        </w:rPr>
      </w:pPr>
    </w:p>
    <w:p w14:paraId="49ADD24E" w14:textId="2C69E496" w:rsidR="00F516CF" w:rsidRDefault="00F516CF" w:rsidP="00C40881">
      <w:pPr>
        <w:spacing w:after="0" w:line="240" w:lineRule="auto"/>
        <w:jc w:val="both"/>
        <w:rPr>
          <w:rFonts w:ascii="Arial" w:eastAsia="Times New Roman" w:hAnsi="Arial" w:cs="Arial"/>
          <w:color w:val="000000"/>
          <w:sz w:val="24"/>
          <w:szCs w:val="24"/>
          <w:shd w:val="clear" w:color="auto" w:fill="FFFFFF"/>
          <w:lang w:eastAsia="en-IN"/>
        </w:rPr>
      </w:pPr>
      <w:r>
        <w:rPr>
          <w:rFonts w:ascii="Arial" w:eastAsia="Times New Roman" w:hAnsi="Arial" w:cs="Arial"/>
          <w:color w:val="000000"/>
          <w:sz w:val="24"/>
          <w:szCs w:val="24"/>
          <w:shd w:val="clear" w:color="auto" w:fill="FFFFFF"/>
          <w:lang w:eastAsia="en-IN"/>
        </w:rPr>
        <w:t xml:space="preserve">The objective behind this move is to </w:t>
      </w:r>
      <w:r w:rsidRPr="00F516CF">
        <w:rPr>
          <w:rFonts w:ascii="Arial" w:eastAsia="Times New Roman" w:hAnsi="Arial" w:cs="Arial"/>
          <w:color w:val="000000"/>
          <w:sz w:val="24"/>
          <w:szCs w:val="24"/>
          <w:shd w:val="clear" w:color="auto" w:fill="FFFFFF"/>
          <w:lang w:eastAsia="en-IN"/>
        </w:rPr>
        <w:t>give a significant push to retail lending for EVs</w:t>
      </w:r>
      <w:r>
        <w:rPr>
          <w:rFonts w:ascii="Arial" w:eastAsia="Times New Roman" w:hAnsi="Arial" w:cs="Arial"/>
          <w:color w:val="000000"/>
          <w:sz w:val="24"/>
          <w:szCs w:val="24"/>
          <w:shd w:val="clear" w:color="auto" w:fill="FFFFFF"/>
          <w:lang w:eastAsia="en-IN"/>
        </w:rPr>
        <w:t xml:space="preserve">. </w:t>
      </w:r>
    </w:p>
    <w:p w14:paraId="757317B2" w14:textId="5B60F342" w:rsidR="00F516CF" w:rsidRDefault="00F516CF" w:rsidP="00C40881">
      <w:pPr>
        <w:spacing w:after="0" w:line="240" w:lineRule="auto"/>
        <w:jc w:val="both"/>
        <w:rPr>
          <w:rFonts w:ascii="Arial" w:eastAsia="Times New Roman" w:hAnsi="Arial" w:cs="Arial"/>
          <w:color w:val="000000"/>
          <w:sz w:val="24"/>
          <w:szCs w:val="24"/>
          <w:shd w:val="clear" w:color="auto" w:fill="FFFFFF"/>
          <w:lang w:eastAsia="en-IN"/>
        </w:rPr>
      </w:pPr>
    </w:p>
    <w:p w14:paraId="316124E3" w14:textId="66E076C3" w:rsidR="00F516CF" w:rsidRPr="00607BC9" w:rsidRDefault="00F516CF" w:rsidP="00C40881">
      <w:pPr>
        <w:spacing w:after="0" w:line="240" w:lineRule="auto"/>
        <w:jc w:val="both"/>
        <w:rPr>
          <w:rFonts w:ascii="Arial" w:eastAsia="Times New Roman" w:hAnsi="Arial" w:cs="Arial"/>
          <w:b/>
          <w:bCs/>
          <w:color w:val="000099"/>
          <w:sz w:val="24"/>
          <w:szCs w:val="24"/>
          <w:shd w:val="clear" w:color="auto" w:fill="FFFFFF"/>
          <w:lang w:eastAsia="en-IN"/>
        </w:rPr>
      </w:pPr>
      <w:r w:rsidRPr="00607BC9">
        <w:rPr>
          <w:rFonts w:ascii="Arial" w:eastAsia="Times New Roman" w:hAnsi="Arial" w:cs="Arial"/>
          <w:b/>
          <w:bCs/>
          <w:color w:val="000099"/>
          <w:sz w:val="24"/>
          <w:szCs w:val="24"/>
          <w:shd w:val="clear" w:color="auto" w:fill="FFFFFF"/>
          <w:lang w:eastAsia="en-IN"/>
        </w:rPr>
        <w:t>Priority Sector Lending</w:t>
      </w:r>
    </w:p>
    <w:p w14:paraId="4C390F40" w14:textId="440AE01E" w:rsidR="00F516CF" w:rsidRDefault="00F516CF" w:rsidP="00C40881">
      <w:pPr>
        <w:spacing w:after="0" w:line="240" w:lineRule="auto"/>
        <w:jc w:val="both"/>
        <w:rPr>
          <w:rFonts w:ascii="Arial" w:eastAsia="Times New Roman" w:hAnsi="Arial" w:cs="Arial"/>
          <w:b/>
          <w:bCs/>
          <w:color w:val="000000"/>
          <w:sz w:val="24"/>
          <w:szCs w:val="24"/>
          <w:shd w:val="clear" w:color="auto" w:fill="FFFFFF"/>
          <w:lang w:eastAsia="en-IN"/>
        </w:rPr>
      </w:pPr>
    </w:p>
    <w:p w14:paraId="025FDC1F" w14:textId="07FCDF59" w:rsidR="009B409E" w:rsidRDefault="00F516CF" w:rsidP="00607BC9">
      <w:pPr>
        <w:spacing w:after="0" w:line="360" w:lineRule="auto"/>
        <w:jc w:val="both"/>
        <w:rPr>
          <w:rFonts w:ascii="Arial" w:eastAsia="Times New Roman" w:hAnsi="Arial" w:cs="Arial"/>
          <w:color w:val="000000"/>
          <w:sz w:val="24"/>
          <w:szCs w:val="24"/>
          <w:shd w:val="clear" w:color="auto" w:fill="FFFFFF"/>
          <w:lang w:eastAsia="en-IN"/>
        </w:rPr>
      </w:pPr>
      <w:r w:rsidRPr="00F516CF">
        <w:rPr>
          <w:rFonts w:ascii="Arial" w:eastAsia="Times New Roman" w:hAnsi="Arial" w:cs="Arial"/>
          <w:color w:val="000000"/>
          <w:sz w:val="24"/>
          <w:szCs w:val="24"/>
          <w:shd w:val="clear" w:color="auto" w:fill="FFFFFF"/>
          <w:lang w:eastAsia="en-IN"/>
        </w:rPr>
        <w:t>Priority-sector lending (PSL) aims to ex</w:t>
      </w:r>
      <w:r w:rsidR="009B409E">
        <w:rPr>
          <w:rFonts w:ascii="Arial" w:eastAsia="Times New Roman" w:hAnsi="Arial" w:cs="Arial"/>
          <w:color w:val="000000"/>
          <w:sz w:val="24"/>
          <w:szCs w:val="24"/>
          <w:shd w:val="clear" w:color="auto" w:fill="FFFFFF"/>
          <w:lang w:eastAsia="en-IN"/>
        </w:rPr>
        <w:t>tend</w:t>
      </w:r>
      <w:r w:rsidRPr="00F516CF">
        <w:rPr>
          <w:rFonts w:ascii="Arial" w:eastAsia="Times New Roman" w:hAnsi="Arial" w:cs="Arial"/>
          <w:color w:val="000000"/>
          <w:sz w:val="24"/>
          <w:szCs w:val="24"/>
          <w:shd w:val="clear" w:color="auto" w:fill="FFFFFF"/>
          <w:lang w:eastAsia="en-IN"/>
        </w:rPr>
        <w:t xml:space="preserve"> financial access</w:t>
      </w:r>
      <w:r w:rsidR="009B409E">
        <w:rPr>
          <w:rFonts w:ascii="Arial" w:eastAsia="Times New Roman" w:hAnsi="Arial" w:cs="Arial"/>
          <w:color w:val="000000"/>
          <w:sz w:val="24"/>
          <w:szCs w:val="24"/>
          <w:shd w:val="clear" w:color="auto" w:fill="FFFFFF"/>
          <w:lang w:eastAsia="en-IN"/>
        </w:rPr>
        <w:t xml:space="preserve"> to the identified sectors to </w:t>
      </w:r>
      <w:r w:rsidRPr="00F516CF">
        <w:rPr>
          <w:rFonts w:ascii="Arial" w:eastAsia="Times New Roman" w:hAnsi="Arial" w:cs="Arial"/>
          <w:color w:val="000000"/>
          <w:sz w:val="24"/>
          <w:szCs w:val="24"/>
          <w:shd w:val="clear" w:color="auto" w:fill="FFFFFF"/>
          <w:lang w:eastAsia="en-IN"/>
        </w:rPr>
        <w:t>support employment opportunities in India.</w:t>
      </w:r>
      <w:r w:rsidR="009B409E">
        <w:rPr>
          <w:rFonts w:ascii="Arial" w:eastAsia="Times New Roman" w:hAnsi="Arial" w:cs="Arial"/>
          <w:color w:val="000000"/>
          <w:sz w:val="24"/>
          <w:szCs w:val="24"/>
          <w:shd w:val="clear" w:color="auto" w:fill="FFFFFF"/>
          <w:lang w:eastAsia="en-IN"/>
        </w:rPr>
        <w:t xml:space="preserve"> It is mandatory for the banks to give a certain percentage of their total loans to the identified priority sectors. </w:t>
      </w:r>
    </w:p>
    <w:p w14:paraId="0B111487" w14:textId="294D458D" w:rsidR="00993E91" w:rsidRDefault="00993E91" w:rsidP="00C40881">
      <w:pPr>
        <w:spacing w:after="0" w:line="240" w:lineRule="auto"/>
        <w:jc w:val="both"/>
        <w:rPr>
          <w:rFonts w:ascii="Arial" w:eastAsia="Times New Roman" w:hAnsi="Arial" w:cs="Arial"/>
          <w:color w:val="000000"/>
          <w:sz w:val="24"/>
          <w:szCs w:val="24"/>
          <w:shd w:val="clear" w:color="auto" w:fill="FFFFFF"/>
          <w:lang w:eastAsia="en-IN"/>
        </w:rPr>
      </w:pPr>
    </w:p>
    <w:p w14:paraId="14720924" w14:textId="55CC8CBC" w:rsidR="00993E91" w:rsidRPr="00607BC9" w:rsidRDefault="00993E91" w:rsidP="00C40881">
      <w:pPr>
        <w:spacing w:after="0" w:line="240" w:lineRule="auto"/>
        <w:jc w:val="both"/>
        <w:rPr>
          <w:rFonts w:ascii="Arial" w:eastAsia="Times New Roman" w:hAnsi="Arial" w:cs="Arial"/>
          <w:b/>
          <w:bCs/>
          <w:color w:val="000099"/>
          <w:sz w:val="24"/>
          <w:szCs w:val="24"/>
          <w:shd w:val="clear" w:color="auto" w:fill="FFFFFF"/>
          <w:lang w:eastAsia="en-IN"/>
        </w:rPr>
      </w:pPr>
      <w:r w:rsidRPr="00607BC9">
        <w:rPr>
          <w:rFonts w:ascii="Arial" w:eastAsia="Times New Roman" w:hAnsi="Arial" w:cs="Arial"/>
          <w:b/>
          <w:bCs/>
          <w:color w:val="000099"/>
          <w:sz w:val="24"/>
          <w:szCs w:val="24"/>
          <w:shd w:val="clear" w:color="auto" w:fill="FFFFFF"/>
          <w:lang w:eastAsia="en-IN"/>
        </w:rPr>
        <w:t>Key findings</w:t>
      </w:r>
      <w:r w:rsidR="00A54152" w:rsidRPr="00607BC9">
        <w:rPr>
          <w:rFonts w:ascii="Arial" w:eastAsia="Times New Roman" w:hAnsi="Arial" w:cs="Arial"/>
          <w:b/>
          <w:bCs/>
          <w:color w:val="000099"/>
          <w:sz w:val="24"/>
          <w:szCs w:val="24"/>
          <w:shd w:val="clear" w:color="auto" w:fill="FFFFFF"/>
          <w:lang w:eastAsia="en-IN"/>
        </w:rPr>
        <w:t xml:space="preserve"> and suggestions</w:t>
      </w:r>
      <w:r w:rsidRPr="00607BC9">
        <w:rPr>
          <w:rFonts w:ascii="Arial" w:eastAsia="Times New Roman" w:hAnsi="Arial" w:cs="Arial"/>
          <w:b/>
          <w:bCs/>
          <w:color w:val="000099"/>
          <w:sz w:val="24"/>
          <w:szCs w:val="24"/>
          <w:shd w:val="clear" w:color="auto" w:fill="FFFFFF"/>
          <w:lang w:eastAsia="en-IN"/>
        </w:rPr>
        <w:t xml:space="preserve"> of Niti Aayog-RMI India report</w:t>
      </w:r>
    </w:p>
    <w:p w14:paraId="5E710A11" w14:textId="5D09F143" w:rsidR="00993E91" w:rsidRDefault="00993E91" w:rsidP="00C40881">
      <w:pPr>
        <w:spacing w:after="0" w:line="240" w:lineRule="auto"/>
        <w:jc w:val="both"/>
        <w:rPr>
          <w:rFonts w:ascii="Arial" w:eastAsia="Times New Roman" w:hAnsi="Arial" w:cs="Arial"/>
          <w:color w:val="000000"/>
          <w:sz w:val="24"/>
          <w:szCs w:val="24"/>
          <w:shd w:val="clear" w:color="auto" w:fill="FFFFFF"/>
          <w:lang w:eastAsia="en-IN"/>
        </w:rPr>
      </w:pPr>
    </w:p>
    <w:p w14:paraId="784771F6" w14:textId="25E9EA1F" w:rsidR="00993E91" w:rsidRDefault="00993E91" w:rsidP="00902927">
      <w:pPr>
        <w:pStyle w:val="ListParagraph"/>
        <w:numPr>
          <w:ilvl w:val="0"/>
          <w:numId w:val="4"/>
        </w:numPr>
        <w:spacing w:line="360" w:lineRule="auto"/>
        <w:jc w:val="both"/>
        <w:rPr>
          <w:rFonts w:ascii="Arial" w:eastAsia="Times New Roman" w:hAnsi="Arial" w:cs="Arial"/>
          <w:color w:val="000000"/>
          <w:sz w:val="24"/>
          <w:szCs w:val="24"/>
          <w:shd w:val="clear" w:color="auto" w:fill="FFFFFF"/>
          <w:lang w:eastAsia="en-IN"/>
        </w:rPr>
      </w:pPr>
      <w:r w:rsidRPr="00A54152">
        <w:rPr>
          <w:rFonts w:ascii="Arial" w:eastAsia="Times New Roman" w:hAnsi="Arial" w:cs="Arial"/>
          <w:color w:val="000000"/>
          <w:sz w:val="24"/>
          <w:szCs w:val="24"/>
          <w:shd w:val="clear" w:color="auto" w:fill="FFFFFF"/>
          <w:lang w:eastAsia="en-IN"/>
        </w:rPr>
        <w:lastRenderedPageBreak/>
        <w:t>Banks and non-banking financial companies (NBFCs) in India have the potential to achieve an electric vehicle (EV) financing market size of ₹40,000 crore by 2025 and ₹3.7 lakh crore by 2030. However, retail finance for EVs has been slow to pick up.</w:t>
      </w:r>
    </w:p>
    <w:p w14:paraId="19C77F9B" w14:textId="7616C0B1" w:rsidR="00A54152" w:rsidRDefault="00A54152" w:rsidP="00902927">
      <w:pPr>
        <w:spacing w:line="360" w:lineRule="auto"/>
        <w:jc w:val="both"/>
        <w:rPr>
          <w:rFonts w:ascii="Arial" w:eastAsia="Times New Roman" w:hAnsi="Arial" w:cs="Arial"/>
          <w:color w:val="000000"/>
          <w:sz w:val="24"/>
          <w:szCs w:val="24"/>
          <w:shd w:val="clear" w:color="auto" w:fill="FFFFFF"/>
          <w:lang w:eastAsia="en-IN"/>
        </w:rPr>
      </w:pPr>
    </w:p>
    <w:p w14:paraId="3494602F" w14:textId="115B70CD" w:rsidR="00A54152" w:rsidRDefault="00A54152" w:rsidP="00902927">
      <w:pPr>
        <w:pStyle w:val="ListParagraph"/>
        <w:numPr>
          <w:ilvl w:val="0"/>
          <w:numId w:val="4"/>
        </w:numPr>
        <w:spacing w:after="0" w:line="360" w:lineRule="auto"/>
        <w:jc w:val="both"/>
        <w:rPr>
          <w:rFonts w:ascii="Arial" w:eastAsia="Times New Roman" w:hAnsi="Arial" w:cs="Arial"/>
          <w:color w:val="000000"/>
          <w:sz w:val="24"/>
          <w:szCs w:val="24"/>
          <w:shd w:val="clear" w:color="auto" w:fill="FFFFFF"/>
          <w:lang w:eastAsia="en-IN"/>
        </w:rPr>
      </w:pPr>
      <w:r w:rsidRPr="00A54152">
        <w:rPr>
          <w:rFonts w:ascii="Arial" w:eastAsia="Times New Roman" w:hAnsi="Arial" w:cs="Arial"/>
          <w:color w:val="000000"/>
          <w:sz w:val="24"/>
          <w:szCs w:val="24"/>
          <w:shd w:val="clear" w:color="auto" w:fill="FFFFFF"/>
          <w:lang w:eastAsia="en-IN"/>
        </w:rPr>
        <w:t>The central bank may consider various EV segments and use cases based on five parameters: socio-economic potential, livelihood generation potential, scalability, techno-economic viability, and stakeholder acceptability</w:t>
      </w:r>
      <w:r>
        <w:rPr>
          <w:rFonts w:ascii="Arial" w:eastAsia="Times New Roman" w:hAnsi="Arial" w:cs="Arial"/>
          <w:color w:val="000000"/>
          <w:sz w:val="24"/>
          <w:szCs w:val="24"/>
          <w:shd w:val="clear" w:color="auto" w:fill="FFFFFF"/>
          <w:lang w:eastAsia="en-IN"/>
        </w:rPr>
        <w:t>.</w:t>
      </w:r>
    </w:p>
    <w:p w14:paraId="21BDE3A3" w14:textId="77777777" w:rsidR="00A54152" w:rsidRPr="009D0129" w:rsidRDefault="00A54152" w:rsidP="00C40881">
      <w:pPr>
        <w:pStyle w:val="ListParagraph"/>
        <w:jc w:val="both"/>
        <w:rPr>
          <w:rFonts w:ascii="Arial" w:eastAsia="Times New Roman" w:hAnsi="Arial" w:cs="Arial"/>
          <w:b/>
          <w:bCs/>
          <w:color w:val="000000"/>
          <w:sz w:val="24"/>
          <w:szCs w:val="24"/>
          <w:shd w:val="clear" w:color="auto" w:fill="FFFFFF"/>
          <w:lang w:eastAsia="en-IN"/>
        </w:rPr>
      </w:pPr>
    </w:p>
    <w:p w14:paraId="7C0332B9" w14:textId="029F6F31" w:rsidR="00607BC9" w:rsidRPr="00607BC9" w:rsidRDefault="00607BC9" w:rsidP="00607BC9">
      <w:pPr>
        <w:spacing w:after="0" w:line="240" w:lineRule="auto"/>
        <w:jc w:val="both"/>
        <w:rPr>
          <w:rFonts w:ascii="Arial" w:eastAsia="Times New Roman" w:hAnsi="Arial" w:cs="Arial"/>
          <w:color w:val="000000"/>
          <w:sz w:val="24"/>
          <w:szCs w:val="24"/>
          <w:shd w:val="clear" w:color="auto" w:fill="FFFFFF"/>
          <w:lang w:eastAsia="en-IN"/>
        </w:rPr>
      </w:pPr>
    </w:p>
    <w:p w14:paraId="01E62319" w14:textId="74DD2EE0" w:rsidR="00607BC9" w:rsidRPr="00E11807" w:rsidRDefault="00607BC9" w:rsidP="00607BC9">
      <w:pPr>
        <w:spacing w:line="360" w:lineRule="auto"/>
        <w:jc w:val="both"/>
        <w:rPr>
          <w:rFonts w:ascii="Arial" w:eastAsia="Times New Roman" w:hAnsi="Arial" w:cs="Arial"/>
          <w:color w:val="000099"/>
          <w:sz w:val="24"/>
          <w:szCs w:val="24"/>
          <w:shd w:val="clear" w:color="auto" w:fill="FFFFFF"/>
          <w:lang w:eastAsia="en-IN"/>
        </w:rPr>
      </w:pPr>
      <w:r w:rsidRPr="00E11807">
        <w:rPr>
          <w:rFonts w:ascii="Arial" w:eastAsia="Times New Roman" w:hAnsi="Arial" w:cs="Arial"/>
          <w:b/>
          <w:bCs/>
          <w:color w:val="000099"/>
          <w:sz w:val="24"/>
          <w:szCs w:val="24"/>
          <w:shd w:val="clear" w:color="auto" w:fill="FFFFFF"/>
          <w:lang w:eastAsia="en-IN"/>
        </w:rPr>
        <w:t>Conclusion</w:t>
      </w:r>
    </w:p>
    <w:p w14:paraId="0FB32F00" w14:textId="77777777" w:rsidR="00607BC9" w:rsidRPr="00607BC9" w:rsidRDefault="009D0129" w:rsidP="00607BC9">
      <w:pPr>
        <w:pStyle w:val="ListParagraph"/>
        <w:numPr>
          <w:ilvl w:val="0"/>
          <w:numId w:val="5"/>
        </w:numPr>
        <w:spacing w:line="360" w:lineRule="auto"/>
        <w:jc w:val="both"/>
        <w:rPr>
          <w:rFonts w:ascii="Arial" w:eastAsia="Times New Roman" w:hAnsi="Arial" w:cs="Arial"/>
          <w:color w:val="000000"/>
          <w:sz w:val="24"/>
          <w:szCs w:val="24"/>
          <w:shd w:val="clear" w:color="auto" w:fill="FFFFFF"/>
          <w:lang w:eastAsia="en-IN"/>
        </w:rPr>
      </w:pPr>
      <w:r w:rsidRPr="00607BC9">
        <w:rPr>
          <w:rFonts w:ascii="Arial" w:eastAsia="Times New Roman" w:hAnsi="Arial" w:cs="Arial"/>
          <w:color w:val="000000"/>
          <w:sz w:val="24"/>
          <w:szCs w:val="24"/>
          <w:shd w:val="clear" w:color="auto" w:fill="FFFFFF"/>
          <w:lang w:eastAsia="en-IN"/>
        </w:rPr>
        <w:t>Financial institutions have an important role to play in accelerating the adoption of EVs in India and supporting the decarbonisation of road transport</w:t>
      </w:r>
      <w:r w:rsidR="00607BC9" w:rsidRPr="00607BC9">
        <w:rPr>
          <w:rFonts w:ascii="Arial" w:eastAsia="Times New Roman" w:hAnsi="Arial" w:cs="Arial"/>
          <w:color w:val="000000"/>
          <w:sz w:val="24"/>
          <w:szCs w:val="24"/>
          <w:shd w:val="clear" w:color="auto" w:fill="FFFFFF"/>
          <w:lang w:eastAsia="en-IN"/>
        </w:rPr>
        <w:t xml:space="preserve">. </w:t>
      </w:r>
      <w:r w:rsidRPr="00607BC9">
        <w:rPr>
          <w:rFonts w:ascii="Arial" w:eastAsia="Times New Roman" w:hAnsi="Arial" w:cs="Arial"/>
          <w:color w:val="000000"/>
          <w:sz w:val="24"/>
          <w:szCs w:val="24"/>
          <w:shd w:val="clear" w:color="auto" w:fill="FFFFFF"/>
          <w:lang w:eastAsia="en-IN"/>
        </w:rPr>
        <w:t>"RBI's PSL mandate has a proven track record of improving the supply of formal credit towards areas of national priority. It can provide a strong regulatory incentive for banks and NBFCs to scale their financing to EVs</w:t>
      </w:r>
      <w:r w:rsidR="00607BC9" w:rsidRPr="00607BC9">
        <w:rPr>
          <w:rFonts w:ascii="Arial" w:eastAsia="Times New Roman" w:hAnsi="Arial" w:cs="Arial"/>
          <w:color w:val="000000"/>
          <w:sz w:val="24"/>
          <w:szCs w:val="24"/>
          <w:shd w:val="clear" w:color="auto" w:fill="FFFFFF"/>
          <w:lang w:eastAsia="en-IN"/>
        </w:rPr>
        <w:t>.</w:t>
      </w:r>
    </w:p>
    <w:p w14:paraId="032D77D7" w14:textId="7B087D13" w:rsidR="00C40881" w:rsidRPr="00607BC9" w:rsidRDefault="00C40881" w:rsidP="00607BC9">
      <w:pPr>
        <w:pStyle w:val="ListParagraph"/>
        <w:numPr>
          <w:ilvl w:val="0"/>
          <w:numId w:val="5"/>
        </w:numPr>
        <w:spacing w:line="360" w:lineRule="auto"/>
        <w:jc w:val="both"/>
        <w:rPr>
          <w:rFonts w:ascii="Arial" w:eastAsia="Times New Roman" w:hAnsi="Arial" w:cs="Arial"/>
          <w:color w:val="000000"/>
          <w:sz w:val="24"/>
          <w:szCs w:val="24"/>
          <w:shd w:val="clear" w:color="auto" w:fill="FFFFFF"/>
          <w:lang w:eastAsia="en-IN"/>
        </w:rPr>
      </w:pPr>
      <w:r w:rsidRPr="00607BC9">
        <w:rPr>
          <w:rFonts w:ascii="Arial" w:eastAsia="Times New Roman" w:hAnsi="Arial" w:cs="Arial"/>
          <w:color w:val="000000"/>
          <w:sz w:val="24"/>
          <w:szCs w:val="24"/>
          <w:shd w:val="clear" w:color="auto" w:fill="FFFFFF"/>
          <w:lang w:eastAsia="en-IN"/>
        </w:rPr>
        <w:t>Niti Aayog recommends incentivising the use of electric vehicle</w:t>
      </w:r>
      <w:r w:rsidR="00BF2FAF" w:rsidRPr="00607BC9">
        <w:rPr>
          <w:rFonts w:ascii="Arial" w:eastAsia="Times New Roman" w:hAnsi="Arial" w:cs="Arial"/>
          <w:color w:val="000000"/>
          <w:sz w:val="24"/>
          <w:szCs w:val="24"/>
          <w:shd w:val="clear" w:color="auto" w:fill="FFFFFF"/>
          <w:lang w:eastAsia="en-IN"/>
        </w:rPr>
        <w:t>s by providing cheap and priority loans to the EV market in the wake of rising pollution levels using IC engines. It would be a big push to the sector if RBI accepts Niti Aayog’s recommendation</w:t>
      </w:r>
      <w:r w:rsidR="00DA163D" w:rsidRPr="00607BC9">
        <w:rPr>
          <w:rFonts w:ascii="Arial" w:eastAsia="Times New Roman" w:hAnsi="Arial" w:cs="Arial"/>
          <w:color w:val="000000"/>
          <w:sz w:val="24"/>
          <w:szCs w:val="24"/>
          <w:shd w:val="clear" w:color="auto" w:fill="FFFFFF"/>
          <w:lang w:eastAsia="en-IN"/>
        </w:rPr>
        <w:t xml:space="preserve">. </w:t>
      </w:r>
      <w:r w:rsidR="00BF2FAF" w:rsidRPr="00607BC9">
        <w:rPr>
          <w:rFonts w:ascii="Arial" w:eastAsia="Times New Roman" w:hAnsi="Arial" w:cs="Arial"/>
          <w:color w:val="000000"/>
          <w:sz w:val="24"/>
          <w:szCs w:val="24"/>
          <w:shd w:val="clear" w:color="auto" w:fill="FFFFFF"/>
          <w:lang w:eastAsia="en-IN"/>
        </w:rPr>
        <w:t xml:space="preserve"> </w:t>
      </w:r>
    </w:p>
    <w:p w14:paraId="63354B09" w14:textId="64D77B1B" w:rsidR="009D0129" w:rsidRDefault="009D0129" w:rsidP="00C40881">
      <w:pPr>
        <w:pStyle w:val="ListParagraph"/>
        <w:spacing w:after="0" w:line="240" w:lineRule="auto"/>
        <w:jc w:val="both"/>
        <w:textAlignment w:val="baseline"/>
        <w:rPr>
          <w:rFonts w:ascii="Arial" w:eastAsia="Times New Roman" w:hAnsi="Arial" w:cs="Arial"/>
          <w:color w:val="000000"/>
          <w:sz w:val="24"/>
          <w:szCs w:val="24"/>
          <w:shd w:val="clear" w:color="auto" w:fill="FFFFFF"/>
          <w:lang w:eastAsia="en-IN"/>
        </w:rPr>
      </w:pPr>
    </w:p>
    <w:p w14:paraId="793E7CA3" w14:textId="51515855" w:rsidR="004D137D" w:rsidRPr="00DA163D" w:rsidRDefault="00993E91" w:rsidP="00C40881">
      <w:pPr>
        <w:jc w:val="both"/>
        <w:rPr>
          <w:rFonts w:ascii="Times New Roman" w:eastAsia="Times New Roman" w:hAnsi="Times New Roman" w:cs="Times New Roman"/>
          <w:sz w:val="24"/>
          <w:szCs w:val="24"/>
          <w:lang w:eastAsia="en-IN"/>
        </w:rPr>
      </w:pPr>
      <w:r w:rsidRPr="00993E91">
        <w:rPr>
          <w:rFonts w:ascii="Arial" w:eastAsia="Times New Roman" w:hAnsi="Arial" w:cs="Arial"/>
          <w:color w:val="000000"/>
          <w:sz w:val="18"/>
          <w:szCs w:val="18"/>
          <w:lang w:eastAsia="en-IN"/>
        </w:rPr>
        <w:br/>
      </w:r>
      <w:r w:rsidR="00902927">
        <w:rPr>
          <w:rFonts w:ascii="Times New Roman" w:eastAsia="Times New Roman" w:hAnsi="Times New Roman" w:cs="Times New Roman"/>
          <w:sz w:val="24"/>
          <w:szCs w:val="24"/>
          <w:lang w:eastAsia="en-IN"/>
        </w:rPr>
        <w:t xml:space="preserve">Report Link: </w:t>
      </w:r>
      <w:hyperlink r:id="rId7" w:history="1">
        <w:r w:rsidR="00902927" w:rsidRPr="002F224A">
          <w:rPr>
            <w:rStyle w:val="Hyperlink"/>
            <w:rFonts w:ascii="Times New Roman" w:eastAsia="Times New Roman" w:hAnsi="Times New Roman" w:cs="Times New Roman"/>
            <w:sz w:val="24"/>
            <w:szCs w:val="24"/>
            <w:lang w:eastAsia="en-IN"/>
          </w:rPr>
          <w:t>https://www.niti.gov.in/sites/default/files/2022-01/Banking-on-EV_web_2.0a.pdf</w:t>
        </w:r>
      </w:hyperlink>
      <w:r w:rsidR="00902927">
        <w:rPr>
          <w:rFonts w:ascii="Times New Roman" w:eastAsia="Times New Roman" w:hAnsi="Times New Roman" w:cs="Times New Roman"/>
          <w:sz w:val="24"/>
          <w:szCs w:val="24"/>
          <w:lang w:eastAsia="en-IN"/>
        </w:rPr>
        <w:t xml:space="preserve"> </w:t>
      </w:r>
    </w:p>
    <w:sectPr w:rsidR="004D137D" w:rsidRPr="00DA163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B8A21" w14:textId="77777777" w:rsidR="00AD76C3" w:rsidRDefault="00AD76C3" w:rsidP="00902927">
      <w:pPr>
        <w:spacing w:after="0" w:line="240" w:lineRule="auto"/>
      </w:pPr>
      <w:r>
        <w:separator/>
      </w:r>
    </w:p>
  </w:endnote>
  <w:endnote w:type="continuationSeparator" w:id="0">
    <w:p w14:paraId="635EEDE0" w14:textId="77777777" w:rsidR="00AD76C3" w:rsidRDefault="00AD76C3" w:rsidP="00902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933577"/>
      <w:docPartObj>
        <w:docPartGallery w:val="Page Numbers (Bottom of Page)"/>
        <w:docPartUnique/>
      </w:docPartObj>
    </w:sdtPr>
    <w:sdtEndPr>
      <w:rPr>
        <w:noProof/>
      </w:rPr>
    </w:sdtEndPr>
    <w:sdtContent>
      <w:p w14:paraId="58288E2B" w14:textId="6A578D5F" w:rsidR="00042A27" w:rsidRDefault="00042A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1D2FA8" w14:textId="77777777" w:rsidR="00042A27" w:rsidRDefault="00042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989FE" w14:textId="77777777" w:rsidR="00AD76C3" w:rsidRDefault="00AD76C3" w:rsidP="00902927">
      <w:pPr>
        <w:spacing w:after="0" w:line="240" w:lineRule="auto"/>
      </w:pPr>
      <w:r>
        <w:separator/>
      </w:r>
    </w:p>
  </w:footnote>
  <w:footnote w:type="continuationSeparator" w:id="0">
    <w:p w14:paraId="01E55DFD" w14:textId="77777777" w:rsidR="00AD76C3" w:rsidRDefault="00AD76C3" w:rsidP="00902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76A93"/>
    <w:multiLevelType w:val="hybridMultilevel"/>
    <w:tmpl w:val="BF56C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E9636A"/>
    <w:multiLevelType w:val="hybridMultilevel"/>
    <w:tmpl w:val="66FEB3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830FD6"/>
    <w:multiLevelType w:val="hybridMultilevel"/>
    <w:tmpl w:val="3476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EE192D"/>
    <w:multiLevelType w:val="hybridMultilevel"/>
    <w:tmpl w:val="1F267C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7872F4"/>
    <w:multiLevelType w:val="hybridMultilevel"/>
    <w:tmpl w:val="9B964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1B"/>
    <w:rsid w:val="0000083D"/>
    <w:rsid w:val="00042A27"/>
    <w:rsid w:val="00216689"/>
    <w:rsid w:val="004D137D"/>
    <w:rsid w:val="004D6298"/>
    <w:rsid w:val="00607BC9"/>
    <w:rsid w:val="00902927"/>
    <w:rsid w:val="00993E91"/>
    <w:rsid w:val="009B409E"/>
    <w:rsid w:val="009D0129"/>
    <w:rsid w:val="00A309FA"/>
    <w:rsid w:val="00A54152"/>
    <w:rsid w:val="00AD76C3"/>
    <w:rsid w:val="00BF2FAF"/>
    <w:rsid w:val="00C40881"/>
    <w:rsid w:val="00D0701B"/>
    <w:rsid w:val="00DA163D"/>
    <w:rsid w:val="00E11807"/>
    <w:rsid w:val="00F51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9AC2"/>
  <w15:chartTrackingRefBased/>
  <w15:docId w15:val="{798D0077-BF7A-4054-9BEF-8BD67D0E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83D"/>
    <w:rPr>
      <w:color w:val="0000FF"/>
      <w:u w:val="single"/>
    </w:rPr>
  </w:style>
  <w:style w:type="paragraph" w:styleId="ListParagraph">
    <w:name w:val="List Paragraph"/>
    <w:basedOn w:val="Normal"/>
    <w:uiPriority w:val="34"/>
    <w:qFormat/>
    <w:rsid w:val="00993E91"/>
    <w:pPr>
      <w:ind w:left="720"/>
      <w:contextualSpacing/>
    </w:pPr>
  </w:style>
  <w:style w:type="character" w:styleId="UnresolvedMention">
    <w:name w:val="Unresolved Mention"/>
    <w:basedOn w:val="DefaultParagraphFont"/>
    <w:uiPriority w:val="99"/>
    <w:semiHidden/>
    <w:unhideWhenUsed/>
    <w:rsid w:val="00902927"/>
    <w:rPr>
      <w:color w:val="605E5C"/>
      <w:shd w:val="clear" w:color="auto" w:fill="E1DFDD"/>
    </w:rPr>
  </w:style>
  <w:style w:type="paragraph" w:styleId="Header">
    <w:name w:val="header"/>
    <w:basedOn w:val="Normal"/>
    <w:link w:val="HeaderChar"/>
    <w:uiPriority w:val="99"/>
    <w:unhideWhenUsed/>
    <w:rsid w:val="009029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927"/>
  </w:style>
  <w:style w:type="paragraph" w:styleId="Footer">
    <w:name w:val="footer"/>
    <w:basedOn w:val="Normal"/>
    <w:link w:val="FooterChar"/>
    <w:uiPriority w:val="99"/>
    <w:unhideWhenUsed/>
    <w:rsid w:val="009029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9497">
      <w:bodyDiv w:val="1"/>
      <w:marLeft w:val="0"/>
      <w:marRight w:val="0"/>
      <w:marTop w:val="0"/>
      <w:marBottom w:val="0"/>
      <w:divBdr>
        <w:top w:val="none" w:sz="0" w:space="0" w:color="auto"/>
        <w:left w:val="none" w:sz="0" w:space="0" w:color="auto"/>
        <w:bottom w:val="none" w:sz="0" w:space="0" w:color="auto"/>
        <w:right w:val="none" w:sz="0" w:space="0" w:color="auto"/>
      </w:divBdr>
      <w:divsChild>
        <w:div w:id="1712340072">
          <w:marLeft w:val="0"/>
          <w:marRight w:val="0"/>
          <w:marTop w:val="0"/>
          <w:marBottom w:val="0"/>
          <w:divBdr>
            <w:top w:val="none" w:sz="0" w:space="0" w:color="auto"/>
            <w:left w:val="none" w:sz="0" w:space="0" w:color="auto"/>
            <w:bottom w:val="none" w:sz="0" w:space="0" w:color="auto"/>
            <w:right w:val="none" w:sz="0" w:space="0" w:color="auto"/>
          </w:divBdr>
        </w:div>
      </w:divsChild>
    </w:div>
    <w:div w:id="180972409">
      <w:bodyDiv w:val="1"/>
      <w:marLeft w:val="0"/>
      <w:marRight w:val="0"/>
      <w:marTop w:val="0"/>
      <w:marBottom w:val="0"/>
      <w:divBdr>
        <w:top w:val="none" w:sz="0" w:space="0" w:color="auto"/>
        <w:left w:val="none" w:sz="0" w:space="0" w:color="auto"/>
        <w:bottom w:val="none" w:sz="0" w:space="0" w:color="auto"/>
        <w:right w:val="none" w:sz="0" w:space="0" w:color="auto"/>
      </w:divBdr>
      <w:divsChild>
        <w:div w:id="1675495264">
          <w:marLeft w:val="0"/>
          <w:marRight w:val="0"/>
          <w:marTop w:val="0"/>
          <w:marBottom w:val="0"/>
          <w:divBdr>
            <w:top w:val="none" w:sz="0" w:space="0" w:color="auto"/>
            <w:left w:val="none" w:sz="0" w:space="0" w:color="auto"/>
            <w:bottom w:val="none" w:sz="0" w:space="0" w:color="auto"/>
            <w:right w:val="none" w:sz="0" w:space="0" w:color="auto"/>
          </w:divBdr>
        </w:div>
      </w:divsChild>
    </w:div>
    <w:div w:id="363987307">
      <w:bodyDiv w:val="1"/>
      <w:marLeft w:val="0"/>
      <w:marRight w:val="0"/>
      <w:marTop w:val="0"/>
      <w:marBottom w:val="0"/>
      <w:divBdr>
        <w:top w:val="none" w:sz="0" w:space="0" w:color="auto"/>
        <w:left w:val="none" w:sz="0" w:space="0" w:color="auto"/>
        <w:bottom w:val="none" w:sz="0" w:space="0" w:color="auto"/>
        <w:right w:val="none" w:sz="0" w:space="0" w:color="auto"/>
      </w:divBdr>
      <w:divsChild>
        <w:div w:id="1311058320">
          <w:marLeft w:val="0"/>
          <w:marRight w:val="0"/>
          <w:marTop w:val="0"/>
          <w:marBottom w:val="0"/>
          <w:divBdr>
            <w:top w:val="none" w:sz="0" w:space="0" w:color="auto"/>
            <w:left w:val="none" w:sz="0" w:space="0" w:color="auto"/>
            <w:bottom w:val="none" w:sz="0" w:space="0" w:color="auto"/>
            <w:right w:val="none" w:sz="0" w:space="0" w:color="auto"/>
          </w:divBdr>
        </w:div>
      </w:divsChild>
    </w:div>
    <w:div w:id="392243603">
      <w:bodyDiv w:val="1"/>
      <w:marLeft w:val="0"/>
      <w:marRight w:val="0"/>
      <w:marTop w:val="0"/>
      <w:marBottom w:val="0"/>
      <w:divBdr>
        <w:top w:val="none" w:sz="0" w:space="0" w:color="auto"/>
        <w:left w:val="none" w:sz="0" w:space="0" w:color="auto"/>
        <w:bottom w:val="none" w:sz="0" w:space="0" w:color="auto"/>
        <w:right w:val="none" w:sz="0" w:space="0" w:color="auto"/>
      </w:divBdr>
      <w:divsChild>
        <w:div w:id="1903174075">
          <w:marLeft w:val="0"/>
          <w:marRight w:val="0"/>
          <w:marTop w:val="0"/>
          <w:marBottom w:val="0"/>
          <w:divBdr>
            <w:top w:val="none" w:sz="0" w:space="0" w:color="auto"/>
            <w:left w:val="none" w:sz="0" w:space="0" w:color="auto"/>
            <w:bottom w:val="none" w:sz="0" w:space="0" w:color="auto"/>
            <w:right w:val="none" w:sz="0" w:space="0" w:color="auto"/>
          </w:divBdr>
        </w:div>
      </w:divsChild>
    </w:div>
    <w:div w:id="401175600">
      <w:bodyDiv w:val="1"/>
      <w:marLeft w:val="0"/>
      <w:marRight w:val="0"/>
      <w:marTop w:val="0"/>
      <w:marBottom w:val="0"/>
      <w:divBdr>
        <w:top w:val="none" w:sz="0" w:space="0" w:color="auto"/>
        <w:left w:val="none" w:sz="0" w:space="0" w:color="auto"/>
        <w:bottom w:val="none" w:sz="0" w:space="0" w:color="auto"/>
        <w:right w:val="none" w:sz="0" w:space="0" w:color="auto"/>
      </w:divBdr>
      <w:divsChild>
        <w:div w:id="59839306">
          <w:marLeft w:val="0"/>
          <w:marRight w:val="0"/>
          <w:marTop w:val="0"/>
          <w:marBottom w:val="0"/>
          <w:divBdr>
            <w:top w:val="none" w:sz="0" w:space="0" w:color="auto"/>
            <w:left w:val="none" w:sz="0" w:space="0" w:color="auto"/>
            <w:bottom w:val="none" w:sz="0" w:space="0" w:color="auto"/>
            <w:right w:val="none" w:sz="0" w:space="0" w:color="auto"/>
          </w:divBdr>
        </w:div>
      </w:divsChild>
    </w:div>
    <w:div w:id="1054813550">
      <w:bodyDiv w:val="1"/>
      <w:marLeft w:val="0"/>
      <w:marRight w:val="0"/>
      <w:marTop w:val="0"/>
      <w:marBottom w:val="0"/>
      <w:divBdr>
        <w:top w:val="none" w:sz="0" w:space="0" w:color="auto"/>
        <w:left w:val="none" w:sz="0" w:space="0" w:color="auto"/>
        <w:bottom w:val="none" w:sz="0" w:space="0" w:color="auto"/>
        <w:right w:val="none" w:sz="0" w:space="0" w:color="auto"/>
      </w:divBdr>
      <w:divsChild>
        <w:div w:id="1686129647">
          <w:marLeft w:val="0"/>
          <w:marRight w:val="0"/>
          <w:marTop w:val="0"/>
          <w:marBottom w:val="0"/>
          <w:divBdr>
            <w:top w:val="none" w:sz="0" w:space="0" w:color="auto"/>
            <w:left w:val="none" w:sz="0" w:space="0" w:color="auto"/>
            <w:bottom w:val="none" w:sz="0" w:space="0" w:color="auto"/>
            <w:right w:val="none" w:sz="0" w:space="0" w:color="auto"/>
          </w:divBdr>
        </w:div>
      </w:divsChild>
    </w:div>
    <w:div w:id="1629554087">
      <w:bodyDiv w:val="1"/>
      <w:marLeft w:val="0"/>
      <w:marRight w:val="0"/>
      <w:marTop w:val="0"/>
      <w:marBottom w:val="0"/>
      <w:divBdr>
        <w:top w:val="none" w:sz="0" w:space="0" w:color="auto"/>
        <w:left w:val="none" w:sz="0" w:space="0" w:color="auto"/>
        <w:bottom w:val="none" w:sz="0" w:space="0" w:color="auto"/>
        <w:right w:val="none" w:sz="0" w:space="0" w:color="auto"/>
      </w:divBdr>
      <w:divsChild>
        <w:div w:id="305203897">
          <w:marLeft w:val="0"/>
          <w:marRight w:val="0"/>
          <w:marTop w:val="0"/>
          <w:marBottom w:val="0"/>
          <w:divBdr>
            <w:top w:val="none" w:sz="0" w:space="0" w:color="auto"/>
            <w:left w:val="none" w:sz="0" w:space="0" w:color="auto"/>
            <w:bottom w:val="none" w:sz="0" w:space="0" w:color="auto"/>
            <w:right w:val="none" w:sz="0" w:space="0" w:color="auto"/>
          </w:divBdr>
        </w:div>
      </w:divsChild>
    </w:div>
    <w:div w:id="1633172215">
      <w:bodyDiv w:val="1"/>
      <w:marLeft w:val="0"/>
      <w:marRight w:val="0"/>
      <w:marTop w:val="0"/>
      <w:marBottom w:val="0"/>
      <w:divBdr>
        <w:top w:val="none" w:sz="0" w:space="0" w:color="auto"/>
        <w:left w:val="none" w:sz="0" w:space="0" w:color="auto"/>
        <w:bottom w:val="none" w:sz="0" w:space="0" w:color="auto"/>
        <w:right w:val="none" w:sz="0" w:space="0" w:color="auto"/>
      </w:divBdr>
      <w:divsChild>
        <w:div w:id="140779294">
          <w:marLeft w:val="0"/>
          <w:marRight w:val="0"/>
          <w:marTop w:val="0"/>
          <w:marBottom w:val="0"/>
          <w:divBdr>
            <w:top w:val="none" w:sz="0" w:space="0" w:color="auto"/>
            <w:left w:val="none" w:sz="0" w:space="0" w:color="auto"/>
            <w:bottom w:val="none" w:sz="0" w:space="0" w:color="auto"/>
            <w:right w:val="none" w:sz="0" w:space="0" w:color="auto"/>
          </w:divBdr>
        </w:div>
      </w:divsChild>
    </w:div>
    <w:div w:id="2092581021">
      <w:bodyDiv w:val="1"/>
      <w:marLeft w:val="0"/>
      <w:marRight w:val="0"/>
      <w:marTop w:val="0"/>
      <w:marBottom w:val="0"/>
      <w:divBdr>
        <w:top w:val="none" w:sz="0" w:space="0" w:color="auto"/>
        <w:left w:val="none" w:sz="0" w:space="0" w:color="auto"/>
        <w:bottom w:val="none" w:sz="0" w:space="0" w:color="auto"/>
        <w:right w:val="none" w:sz="0" w:space="0" w:color="auto"/>
      </w:divBdr>
      <w:divsChild>
        <w:div w:id="1237401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iti.gov.in/sites/default/files/2022-01/Banking-on-EV_web_2.0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dc:creator>
  <cp:keywords/>
  <dc:description/>
  <cp:lastModifiedBy>SUNDER SHYAM - DELHI</cp:lastModifiedBy>
  <cp:revision>7</cp:revision>
  <dcterms:created xsi:type="dcterms:W3CDTF">2022-02-05T08:21:00Z</dcterms:created>
  <dcterms:modified xsi:type="dcterms:W3CDTF">2022-02-05T11:44:00Z</dcterms:modified>
</cp:coreProperties>
</file>