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323C" w14:textId="288038B9" w:rsidR="006A1E05" w:rsidRPr="00C03239" w:rsidRDefault="006A1E05" w:rsidP="00D44023">
      <w:pPr>
        <w:jc w:val="center"/>
        <w:rPr>
          <w:rFonts w:ascii="Old Standard" w:hAnsi="Old Standard"/>
          <w:b/>
          <w:bCs/>
          <w:color w:val="44546A" w:themeColor="text2"/>
          <w:sz w:val="32"/>
          <w:szCs w:val="32"/>
        </w:rPr>
      </w:pPr>
      <w:r w:rsidRPr="00C03239">
        <w:rPr>
          <w:rFonts w:ascii="Old Standard" w:hAnsi="Old Standard"/>
          <w:b/>
          <w:bCs/>
          <w:color w:val="44546A" w:themeColor="text2"/>
          <w:sz w:val="32"/>
          <w:szCs w:val="32"/>
        </w:rPr>
        <w:t>Ministry of Commerce &amp; Industry</w:t>
      </w:r>
    </w:p>
    <w:p w14:paraId="56869B69" w14:textId="3553F168" w:rsidR="006A1E05" w:rsidRPr="00C03239" w:rsidRDefault="008858FE" w:rsidP="00D44023">
      <w:pPr>
        <w:jc w:val="center"/>
        <w:rPr>
          <w:rFonts w:ascii="Old Standard" w:hAnsi="Old Standard"/>
          <w:b/>
          <w:bCs/>
          <w:color w:val="44546A" w:themeColor="text2"/>
          <w:sz w:val="32"/>
          <w:szCs w:val="32"/>
        </w:rPr>
      </w:pPr>
      <w:r w:rsidRPr="008858FE">
        <w:rPr>
          <w:rFonts w:ascii="Old Standard" w:hAnsi="Old Standard"/>
          <w:b/>
          <w:bCs/>
          <w:color w:val="44546A" w:themeColor="text2"/>
          <w:sz w:val="32"/>
          <w:szCs w:val="32"/>
        </w:rPr>
        <w:t>India’s renewed focus on Major FTAs</w:t>
      </w:r>
    </w:p>
    <w:p w14:paraId="19794832" w14:textId="29F2692F" w:rsidR="00D44023" w:rsidRPr="00C03239" w:rsidRDefault="00D44023" w:rsidP="00D44023">
      <w:pPr>
        <w:jc w:val="center"/>
        <w:rPr>
          <w:rFonts w:ascii="Old Standard" w:hAnsi="Old Standard"/>
          <w:b/>
          <w:bCs/>
          <w:color w:val="FF0000"/>
          <w:sz w:val="32"/>
          <w:szCs w:val="32"/>
        </w:rPr>
      </w:pPr>
      <w:r w:rsidRPr="00C03239">
        <w:rPr>
          <w:rFonts w:ascii="Old Standard" w:hAnsi="Old Standard"/>
          <w:b/>
          <w:bCs/>
          <w:color w:val="FF0000"/>
          <w:sz w:val="32"/>
          <w:szCs w:val="32"/>
        </w:rPr>
        <w:t xml:space="preserve">Relevant </w:t>
      </w:r>
      <w:r w:rsidR="0034556D" w:rsidRPr="00C03239">
        <w:rPr>
          <w:rFonts w:ascii="Old Standard" w:hAnsi="Old Standard"/>
          <w:b/>
          <w:bCs/>
          <w:color w:val="FF0000"/>
          <w:sz w:val="32"/>
          <w:szCs w:val="32"/>
        </w:rPr>
        <w:t>to</w:t>
      </w:r>
      <w:r w:rsidR="00FC4BFC" w:rsidRPr="00C03239">
        <w:rPr>
          <w:rFonts w:ascii="Old Standard" w:hAnsi="Old Standard"/>
          <w:b/>
          <w:bCs/>
          <w:color w:val="FF0000"/>
          <w:sz w:val="32"/>
          <w:szCs w:val="32"/>
        </w:rPr>
        <w:t xml:space="preserve"> </w:t>
      </w:r>
      <w:r w:rsidR="009B512C" w:rsidRPr="00C03239">
        <w:rPr>
          <w:rFonts w:ascii="Old Standard" w:hAnsi="Old Standard"/>
          <w:b/>
          <w:bCs/>
          <w:color w:val="FF0000"/>
          <w:sz w:val="32"/>
          <w:szCs w:val="32"/>
        </w:rPr>
        <w:t>M&amp;M - IO</w:t>
      </w:r>
      <w:r w:rsidR="000D4F88" w:rsidRPr="00C03239">
        <w:rPr>
          <w:rFonts w:ascii="Old Standard" w:hAnsi="Old Standard"/>
          <w:b/>
          <w:bCs/>
          <w:color w:val="FF0000"/>
          <w:sz w:val="32"/>
          <w:szCs w:val="32"/>
        </w:rPr>
        <w:t xml:space="preserve"> Team </w:t>
      </w:r>
    </w:p>
    <w:p w14:paraId="0AB24AF1" w14:textId="4477551D" w:rsidR="005E133C" w:rsidRPr="00C03239" w:rsidRDefault="00631224" w:rsidP="00631224">
      <w:pPr>
        <w:jc w:val="center"/>
        <w:rPr>
          <w:rFonts w:ascii="Old Standard" w:hAnsi="Old Standard"/>
          <w:b/>
          <w:bCs/>
          <w:sz w:val="32"/>
          <w:szCs w:val="32"/>
        </w:rPr>
      </w:pPr>
      <w:r w:rsidRPr="00C03239">
        <w:rPr>
          <w:rFonts w:ascii="Old Standard" w:hAnsi="Old Standard"/>
          <w:b/>
          <w:bCs/>
          <w:sz w:val="32"/>
          <w:szCs w:val="32"/>
        </w:rPr>
        <w:t>1</w:t>
      </w:r>
      <w:r w:rsidR="00756FCC" w:rsidRPr="00C03239">
        <w:rPr>
          <w:rFonts w:ascii="Old Standard" w:hAnsi="Old Standard"/>
          <w:b/>
          <w:bCs/>
          <w:sz w:val="32"/>
          <w:szCs w:val="32"/>
        </w:rPr>
        <w:t>8</w:t>
      </w:r>
      <w:r w:rsidRPr="00C03239">
        <w:rPr>
          <w:rFonts w:ascii="Old Standard" w:hAnsi="Old Standard"/>
          <w:b/>
          <w:bCs/>
          <w:sz w:val="32"/>
          <w:szCs w:val="32"/>
          <w:vertAlign w:val="superscript"/>
        </w:rPr>
        <w:t>th</w:t>
      </w:r>
      <w:r w:rsidRPr="00C03239">
        <w:rPr>
          <w:rFonts w:ascii="Old Standard" w:hAnsi="Old Standard"/>
          <w:b/>
          <w:bCs/>
          <w:sz w:val="32"/>
          <w:szCs w:val="32"/>
        </w:rPr>
        <w:t xml:space="preserve"> </w:t>
      </w:r>
      <w:r w:rsidR="0034556D" w:rsidRPr="00C03239">
        <w:rPr>
          <w:rFonts w:ascii="Old Standard" w:hAnsi="Old Standard"/>
          <w:b/>
          <w:bCs/>
          <w:sz w:val="32"/>
          <w:szCs w:val="32"/>
        </w:rPr>
        <w:t>October</w:t>
      </w:r>
      <w:r w:rsidR="005E133C" w:rsidRPr="00C03239">
        <w:rPr>
          <w:rFonts w:ascii="Old Standard" w:hAnsi="Old Standard"/>
          <w:b/>
          <w:bCs/>
          <w:sz w:val="32"/>
          <w:szCs w:val="32"/>
        </w:rPr>
        <w:t xml:space="preserve"> 2021</w:t>
      </w:r>
    </w:p>
    <w:p w14:paraId="0C722B31" w14:textId="50BDEB35" w:rsidR="00631224" w:rsidRPr="00C03239" w:rsidRDefault="00C65956" w:rsidP="00631224">
      <w:pPr>
        <w:rPr>
          <w:rFonts w:ascii="Old Standard" w:hAnsi="Old Standard"/>
          <w:b/>
          <w:bCs/>
          <w:color w:val="C00000"/>
          <w:sz w:val="28"/>
          <w:szCs w:val="28"/>
        </w:rPr>
      </w:pPr>
      <w:r w:rsidRPr="00C03239">
        <w:rPr>
          <w:rFonts w:ascii="Old Standard" w:hAnsi="Old Standard"/>
          <w:b/>
          <w:bCs/>
          <w:color w:val="000099"/>
          <w:sz w:val="28"/>
          <w:szCs w:val="28"/>
        </w:rPr>
        <w:t>Context</w:t>
      </w:r>
    </w:p>
    <w:p w14:paraId="5149D12C" w14:textId="602329F0" w:rsidR="003F6A7A" w:rsidRPr="00C03239" w:rsidRDefault="00C65956" w:rsidP="00C65956">
      <w:pPr>
        <w:spacing w:line="360" w:lineRule="auto"/>
        <w:jc w:val="both"/>
        <w:rPr>
          <w:rFonts w:ascii="Old Standard" w:hAnsi="Old Standard"/>
          <w:sz w:val="24"/>
          <w:szCs w:val="24"/>
        </w:rPr>
      </w:pPr>
      <w:r w:rsidRPr="00C03239">
        <w:rPr>
          <w:rFonts w:ascii="Old Standard" w:hAnsi="Old Standard"/>
          <w:sz w:val="24"/>
          <w:szCs w:val="24"/>
        </w:rPr>
        <w:t xml:space="preserve">Recently, India participated in the 18th India-ASEAN Summit at the invitation of Brunei, the current Chair of ASEAN. The Year 2022 has been highlighted as India-ASEAN Friendship by the leaders. India-ASEAN Summit is held every year and provides an opportunity for India and </w:t>
      </w:r>
      <w:r w:rsidR="00407C76" w:rsidRPr="00C03239">
        <w:rPr>
          <w:rFonts w:ascii="Old Standard" w:hAnsi="Old Standard"/>
          <w:sz w:val="24"/>
          <w:szCs w:val="24"/>
        </w:rPr>
        <w:t>ASEAN</w:t>
      </w:r>
      <w:r w:rsidRPr="00C03239">
        <w:rPr>
          <w:rFonts w:ascii="Old Standard" w:hAnsi="Old Standard"/>
          <w:sz w:val="24"/>
          <w:szCs w:val="24"/>
        </w:rPr>
        <w:t xml:space="preserve"> to engage at the highest level.</w:t>
      </w:r>
    </w:p>
    <w:p w14:paraId="526656B5" w14:textId="203FF687" w:rsidR="00756FCC" w:rsidRPr="00C03239" w:rsidRDefault="00C65956" w:rsidP="0034556D">
      <w:pPr>
        <w:rPr>
          <w:rFonts w:ascii="Old Standard" w:hAnsi="Old Standard"/>
          <w:b/>
          <w:bCs/>
          <w:color w:val="C00000"/>
          <w:sz w:val="24"/>
          <w:szCs w:val="24"/>
        </w:rPr>
      </w:pPr>
      <w:r w:rsidRPr="00C03239">
        <w:rPr>
          <w:rFonts w:ascii="Old Standard" w:hAnsi="Old Standard"/>
          <w:b/>
          <w:bCs/>
          <w:color w:val="C00000"/>
          <w:sz w:val="24"/>
          <w:szCs w:val="24"/>
        </w:rPr>
        <w:t>Key Takeaways</w:t>
      </w:r>
    </w:p>
    <w:p w14:paraId="510BA19D" w14:textId="77777777" w:rsidR="009B512C" w:rsidRPr="00C03239" w:rsidRDefault="009B512C" w:rsidP="0034556D">
      <w:pPr>
        <w:rPr>
          <w:rFonts w:ascii="Old Standard" w:hAnsi="Old Standard"/>
          <w:b/>
          <w:bCs/>
          <w:color w:val="000099"/>
          <w:sz w:val="24"/>
          <w:szCs w:val="24"/>
        </w:rPr>
      </w:pPr>
    </w:p>
    <w:p w14:paraId="50E14A7F" w14:textId="597AA4A8" w:rsidR="00407C76" w:rsidRPr="00C03239" w:rsidRDefault="00407C76" w:rsidP="0034556D">
      <w:pPr>
        <w:rPr>
          <w:rFonts w:ascii="Old Standard" w:hAnsi="Old Standard"/>
          <w:b/>
          <w:bCs/>
          <w:color w:val="000099"/>
          <w:sz w:val="28"/>
          <w:szCs w:val="28"/>
        </w:rPr>
      </w:pPr>
      <w:r w:rsidRPr="00C03239">
        <w:rPr>
          <w:rFonts w:ascii="Old Standard" w:hAnsi="Old Standard"/>
          <w:b/>
          <w:bCs/>
          <w:color w:val="000099"/>
          <w:sz w:val="28"/>
          <w:szCs w:val="28"/>
        </w:rPr>
        <w:t>ASEAN in Act East Policy</w:t>
      </w:r>
    </w:p>
    <w:p w14:paraId="54567B74" w14:textId="5785FC4F" w:rsidR="00407C76" w:rsidRPr="00C03239" w:rsidRDefault="00407C76" w:rsidP="009B512C">
      <w:pPr>
        <w:pStyle w:val="ListParagraph"/>
        <w:numPr>
          <w:ilvl w:val="0"/>
          <w:numId w:val="34"/>
        </w:numPr>
        <w:spacing w:line="360" w:lineRule="auto"/>
        <w:ind w:left="714" w:hanging="357"/>
        <w:jc w:val="both"/>
        <w:rPr>
          <w:rFonts w:ascii="Old Standard" w:hAnsi="Old Standard"/>
          <w:sz w:val="24"/>
          <w:szCs w:val="24"/>
        </w:rPr>
      </w:pPr>
      <w:r w:rsidRPr="00C03239">
        <w:rPr>
          <w:rFonts w:ascii="Old Standard" w:hAnsi="Old Standard"/>
          <w:sz w:val="24"/>
          <w:szCs w:val="24"/>
        </w:rPr>
        <w:t>The centrality of ASEAN in India's Act East Policy and in India's Vision for the wider Indo-Pacific Vision has been underlined.</w:t>
      </w:r>
    </w:p>
    <w:p w14:paraId="20699BA3" w14:textId="77777777" w:rsidR="009B512C" w:rsidRPr="00C03239" w:rsidRDefault="009B512C" w:rsidP="009B512C">
      <w:pPr>
        <w:pStyle w:val="ListParagraph"/>
        <w:spacing w:line="360" w:lineRule="auto"/>
        <w:ind w:left="714"/>
        <w:jc w:val="both"/>
        <w:rPr>
          <w:rFonts w:ascii="Old Standard" w:hAnsi="Old Standard"/>
          <w:sz w:val="24"/>
          <w:szCs w:val="24"/>
        </w:rPr>
      </w:pPr>
    </w:p>
    <w:p w14:paraId="31FC19D5" w14:textId="35DDFE17" w:rsidR="00C65956" w:rsidRPr="00C03239" w:rsidRDefault="00407C76" w:rsidP="009B512C">
      <w:pPr>
        <w:pStyle w:val="ListParagraph"/>
        <w:numPr>
          <w:ilvl w:val="0"/>
          <w:numId w:val="34"/>
        </w:numPr>
        <w:spacing w:line="360" w:lineRule="auto"/>
        <w:ind w:left="714" w:hanging="357"/>
        <w:jc w:val="both"/>
        <w:rPr>
          <w:rFonts w:ascii="Old Standard" w:hAnsi="Old Standard"/>
          <w:sz w:val="24"/>
          <w:szCs w:val="24"/>
        </w:rPr>
      </w:pPr>
      <w:r w:rsidRPr="00C03239">
        <w:rPr>
          <w:rFonts w:ascii="Old Standard" w:hAnsi="Old Standard"/>
          <w:sz w:val="24"/>
          <w:szCs w:val="24"/>
        </w:rPr>
        <w:t xml:space="preserve">Welcomed the adoption of the India-ASEAN Joint Statement on cooperation for peace, </w:t>
      </w:r>
      <w:r w:rsidR="009B512C" w:rsidRPr="00C03239">
        <w:rPr>
          <w:rFonts w:ascii="Old Standard" w:hAnsi="Old Standard"/>
          <w:sz w:val="24"/>
          <w:szCs w:val="24"/>
        </w:rPr>
        <w:t>stability,</w:t>
      </w:r>
      <w:r w:rsidRPr="00C03239">
        <w:rPr>
          <w:rFonts w:ascii="Old Standard" w:hAnsi="Old Standard"/>
          <w:sz w:val="24"/>
          <w:szCs w:val="24"/>
        </w:rPr>
        <w:t xml:space="preserve"> and prosperity in the region, building upon the synergies between the ASEAN Outlook for the Indo-Pacific (AOIP) and India’s Indo-Pacific Oceans Initiative (IPOI).</w:t>
      </w:r>
    </w:p>
    <w:p w14:paraId="3B2C4D02" w14:textId="77777777" w:rsidR="00407C76" w:rsidRPr="00C03239" w:rsidRDefault="00407C76" w:rsidP="009B512C">
      <w:pPr>
        <w:pStyle w:val="ListParagraph"/>
        <w:jc w:val="both"/>
        <w:rPr>
          <w:rFonts w:ascii="Old Standard" w:hAnsi="Old Standard"/>
          <w:sz w:val="24"/>
          <w:szCs w:val="24"/>
        </w:rPr>
      </w:pPr>
    </w:p>
    <w:p w14:paraId="0E7F0D42" w14:textId="1A331CA1" w:rsidR="00407C76" w:rsidRPr="00C03239" w:rsidRDefault="00407C76" w:rsidP="009B512C">
      <w:pPr>
        <w:pStyle w:val="ListParagraph"/>
        <w:numPr>
          <w:ilvl w:val="0"/>
          <w:numId w:val="34"/>
        </w:numPr>
        <w:spacing w:line="360" w:lineRule="auto"/>
        <w:ind w:left="714" w:hanging="357"/>
        <w:jc w:val="both"/>
        <w:rPr>
          <w:rFonts w:ascii="Old Standard" w:hAnsi="Old Standard"/>
          <w:sz w:val="24"/>
          <w:szCs w:val="24"/>
        </w:rPr>
      </w:pPr>
      <w:r w:rsidRPr="00C03239">
        <w:rPr>
          <w:rFonts w:ascii="Old Standard" w:hAnsi="Old Standard"/>
          <w:sz w:val="24"/>
          <w:szCs w:val="24"/>
        </w:rPr>
        <w:t xml:space="preserve">Recently, India also addressed the 16th East Asia Summit, where it reaffirmed India's focus on a free, </w:t>
      </w:r>
      <w:r w:rsidR="009B512C" w:rsidRPr="00C03239">
        <w:rPr>
          <w:rFonts w:ascii="Old Standard" w:hAnsi="Old Standard"/>
          <w:sz w:val="24"/>
          <w:szCs w:val="24"/>
        </w:rPr>
        <w:t>open,</w:t>
      </w:r>
      <w:r w:rsidRPr="00C03239">
        <w:rPr>
          <w:rFonts w:ascii="Old Standard" w:hAnsi="Old Standard"/>
          <w:sz w:val="24"/>
          <w:szCs w:val="24"/>
        </w:rPr>
        <w:t xml:space="preserve"> and inclusive Indo-Pacific and the principle of </w:t>
      </w:r>
      <w:r w:rsidR="009B512C" w:rsidRPr="00C03239">
        <w:rPr>
          <w:rFonts w:ascii="Old Standard" w:hAnsi="Old Standard"/>
          <w:sz w:val="24"/>
          <w:szCs w:val="24"/>
        </w:rPr>
        <w:t>ASEAN</w:t>
      </w:r>
      <w:r w:rsidRPr="00C03239">
        <w:rPr>
          <w:rFonts w:ascii="Old Standard" w:hAnsi="Old Standard"/>
          <w:sz w:val="24"/>
          <w:szCs w:val="24"/>
        </w:rPr>
        <w:t xml:space="preserve"> Centrality in the region.</w:t>
      </w:r>
    </w:p>
    <w:p w14:paraId="229F9E66" w14:textId="77777777" w:rsidR="00407C76" w:rsidRPr="00C03239" w:rsidRDefault="00407C76" w:rsidP="00407C76">
      <w:pPr>
        <w:pStyle w:val="ListParagraph"/>
        <w:rPr>
          <w:rFonts w:ascii="Old Standard" w:hAnsi="Old Standard"/>
          <w:sz w:val="24"/>
          <w:szCs w:val="24"/>
        </w:rPr>
      </w:pPr>
    </w:p>
    <w:p w14:paraId="6BC5E99A" w14:textId="2D285EC4" w:rsidR="00407C76" w:rsidRPr="00C03239" w:rsidRDefault="00407C76" w:rsidP="00C03239">
      <w:pPr>
        <w:rPr>
          <w:rFonts w:ascii="Old Standard" w:hAnsi="Old Standard"/>
          <w:b/>
          <w:bCs/>
          <w:color w:val="000099"/>
          <w:sz w:val="28"/>
          <w:szCs w:val="28"/>
        </w:rPr>
      </w:pPr>
      <w:r w:rsidRPr="00C03239">
        <w:rPr>
          <w:rFonts w:ascii="Old Standard" w:hAnsi="Old Standard"/>
          <w:b/>
          <w:bCs/>
          <w:color w:val="000099"/>
          <w:sz w:val="28"/>
          <w:szCs w:val="28"/>
        </w:rPr>
        <w:t>India-ASEAN Connectivity</w:t>
      </w:r>
    </w:p>
    <w:p w14:paraId="1096C56A" w14:textId="77777777" w:rsidR="00D30911" w:rsidRPr="00C03239" w:rsidRDefault="00D30911" w:rsidP="00FC13C6">
      <w:pPr>
        <w:pStyle w:val="ListParagraph"/>
        <w:numPr>
          <w:ilvl w:val="0"/>
          <w:numId w:val="35"/>
        </w:numPr>
        <w:spacing w:line="360" w:lineRule="auto"/>
        <w:jc w:val="both"/>
        <w:rPr>
          <w:rFonts w:ascii="Old Standard" w:hAnsi="Old Standard"/>
          <w:sz w:val="24"/>
          <w:szCs w:val="24"/>
        </w:rPr>
      </w:pPr>
      <w:r w:rsidRPr="00C03239">
        <w:rPr>
          <w:rFonts w:ascii="Old Standard" w:hAnsi="Old Standard"/>
          <w:sz w:val="24"/>
          <w:szCs w:val="24"/>
        </w:rPr>
        <w:t>Exchanged views on enhancing India-ASEAN connectivity in broadest terms including physical, digital and people to people.</w:t>
      </w:r>
    </w:p>
    <w:p w14:paraId="00C853F5" w14:textId="3682EA63" w:rsidR="00407C76" w:rsidRPr="00C03239" w:rsidRDefault="00D30911" w:rsidP="00FC13C6">
      <w:pPr>
        <w:pStyle w:val="ListParagraph"/>
        <w:numPr>
          <w:ilvl w:val="0"/>
          <w:numId w:val="35"/>
        </w:numPr>
        <w:spacing w:line="360" w:lineRule="auto"/>
        <w:jc w:val="both"/>
        <w:rPr>
          <w:rFonts w:ascii="Old Standard" w:hAnsi="Old Standard"/>
          <w:sz w:val="24"/>
          <w:szCs w:val="24"/>
        </w:rPr>
      </w:pPr>
      <w:r w:rsidRPr="00C03239">
        <w:rPr>
          <w:rFonts w:ascii="Old Standard" w:hAnsi="Old Standard"/>
          <w:sz w:val="24"/>
          <w:szCs w:val="24"/>
        </w:rPr>
        <w:lastRenderedPageBreak/>
        <w:t>India announced its support for establishing the ASEAN Cultural Heritage List to further strengthen India-ASEAN cultural connectivity.</w:t>
      </w:r>
    </w:p>
    <w:p w14:paraId="5766B45A" w14:textId="3DE2F873" w:rsidR="00FC13C6" w:rsidRPr="00C03239" w:rsidRDefault="00FC13C6" w:rsidP="00C03239">
      <w:pPr>
        <w:rPr>
          <w:rFonts w:ascii="Old Standard" w:hAnsi="Old Standard"/>
          <w:b/>
          <w:bCs/>
          <w:color w:val="000099"/>
          <w:sz w:val="28"/>
          <w:szCs w:val="28"/>
        </w:rPr>
      </w:pPr>
      <w:r w:rsidRPr="00C03239">
        <w:rPr>
          <w:rFonts w:ascii="Old Standard" w:hAnsi="Old Standard"/>
          <w:b/>
          <w:bCs/>
          <w:color w:val="000099"/>
          <w:sz w:val="28"/>
          <w:szCs w:val="28"/>
        </w:rPr>
        <w:t>Trade and Investment</w:t>
      </w:r>
    </w:p>
    <w:p w14:paraId="476221ED" w14:textId="3FDF2FAA" w:rsidR="00FC13C6" w:rsidRPr="00C03239" w:rsidRDefault="00FC13C6" w:rsidP="00FC13C6">
      <w:pPr>
        <w:pStyle w:val="ListParagraph"/>
        <w:numPr>
          <w:ilvl w:val="0"/>
          <w:numId w:val="36"/>
        </w:numPr>
        <w:spacing w:line="360" w:lineRule="auto"/>
        <w:jc w:val="both"/>
        <w:rPr>
          <w:rFonts w:ascii="Old Standard" w:hAnsi="Old Standard"/>
          <w:sz w:val="24"/>
          <w:szCs w:val="24"/>
        </w:rPr>
      </w:pPr>
      <w:r w:rsidRPr="00C03239">
        <w:rPr>
          <w:rFonts w:ascii="Old Standard" w:hAnsi="Old Standard"/>
          <w:sz w:val="24"/>
          <w:szCs w:val="24"/>
        </w:rPr>
        <w:t>The importance of diversification and resilience of supply chains for post-Covid economic recovery and in this regard, the need to revamp the India-ASEAN Free Trade Agreement (FTA) has been underlined.</w:t>
      </w:r>
    </w:p>
    <w:p w14:paraId="70345091" w14:textId="037531A8" w:rsidR="00FC13C6" w:rsidRPr="00C03239" w:rsidRDefault="00FC13C6" w:rsidP="00C03239">
      <w:pPr>
        <w:rPr>
          <w:rFonts w:ascii="Old Standard" w:hAnsi="Old Standard"/>
          <w:b/>
          <w:bCs/>
          <w:color w:val="000099"/>
          <w:sz w:val="28"/>
          <w:szCs w:val="28"/>
        </w:rPr>
      </w:pPr>
      <w:r w:rsidRPr="00C03239">
        <w:rPr>
          <w:rFonts w:ascii="Old Standard" w:hAnsi="Old Standard"/>
          <w:b/>
          <w:bCs/>
          <w:color w:val="000099"/>
          <w:sz w:val="28"/>
          <w:szCs w:val="28"/>
        </w:rPr>
        <w:t>Rule-Based Order</w:t>
      </w:r>
    </w:p>
    <w:p w14:paraId="43C1887D" w14:textId="77777777" w:rsidR="00FC13C6" w:rsidRPr="00C03239" w:rsidRDefault="00FC13C6" w:rsidP="00FC13C6">
      <w:pPr>
        <w:pStyle w:val="ListParagraph"/>
        <w:numPr>
          <w:ilvl w:val="0"/>
          <w:numId w:val="36"/>
        </w:numPr>
        <w:spacing w:line="360" w:lineRule="auto"/>
        <w:jc w:val="both"/>
        <w:rPr>
          <w:rFonts w:ascii="Old Standard" w:hAnsi="Old Standard"/>
          <w:sz w:val="24"/>
          <w:szCs w:val="24"/>
        </w:rPr>
      </w:pPr>
      <w:r w:rsidRPr="00C03239">
        <w:rPr>
          <w:rFonts w:ascii="Old Standard" w:hAnsi="Old Standard"/>
          <w:sz w:val="24"/>
          <w:szCs w:val="24"/>
        </w:rPr>
        <w:t>Regional and international issues of common interest and concern, including South China Sea and terrorism.</w:t>
      </w:r>
    </w:p>
    <w:p w14:paraId="41FEAEA2" w14:textId="2836DE7C" w:rsidR="00FC13C6" w:rsidRPr="00C03239" w:rsidRDefault="00FC13C6" w:rsidP="00FC13C6">
      <w:pPr>
        <w:pStyle w:val="ListParagraph"/>
        <w:numPr>
          <w:ilvl w:val="0"/>
          <w:numId w:val="36"/>
        </w:numPr>
        <w:spacing w:line="360" w:lineRule="auto"/>
        <w:jc w:val="both"/>
        <w:rPr>
          <w:rFonts w:ascii="Old Standard" w:hAnsi="Old Standard"/>
          <w:sz w:val="24"/>
          <w:szCs w:val="24"/>
        </w:rPr>
      </w:pPr>
      <w:r w:rsidRPr="00C03239">
        <w:rPr>
          <w:rFonts w:ascii="Old Standard" w:hAnsi="Old Standard"/>
          <w:sz w:val="24"/>
          <w:szCs w:val="24"/>
        </w:rPr>
        <w:t>The importance of promoting a rules-based order in the region including through upholding adherence to international law, especially the UNCLOS.</w:t>
      </w:r>
    </w:p>
    <w:p w14:paraId="5C021509" w14:textId="3C19B59C" w:rsidR="0099326C" w:rsidRPr="00C03239" w:rsidRDefault="0099326C" w:rsidP="00C03239">
      <w:pPr>
        <w:rPr>
          <w:rFonts w:ascii="Old Standard" w:hAnsi="Old Standard"/>
          <w:b/>
          <w:bCs/>
          <w:color w:val="000099"/>
          <w:sz w:val="28"/>
          <w:szCs w:val="28"/>
        </w:rPr>
      </w:pPr>
      <w:r w:rsidRPr="00C03239">
        <w:rPr>
          <w:rFonts w:ascii="Old Standard" w:hAnsi="Old Standard"/>
          <w:b/>
          <w:bCs/>
          <w:color w:val="000099"/>
          <w:sz w:val="28"/>
          <w:szCs w:val="28"/>
        </w:rPr>
        <w:t>Covid-19</w:t>
      </w:r>
    </w:p>
    <w:p w14:paraId="41590840" w14:textId="32934B63" w:rsidR="0099326C" w:rsidRPr="00C03239" w:rsidRDefault="0099326C" w:rsidP="0099326C">
      <w:pPr>
        <w:pStyle w:val="ListParagraph"/>
        <w:numPr>
          <w:ilvl w:val="0"/>
          <w:numId w:val="37"/>
        </w:numPr>
        <w:spacing w:line="360" w:lineRule="auto"/>
        <w:jc w:val="both"/>
        <w:rPr>
          <w:rFonts w:ascii="Old Standard" w:hAnsi="Old Standard"/>
          <w:sz w:val="24"/>
          <w:szCs w:val="24"/>
        </w:rPr>
      </w:pPr>
      <w:r w:rsidRPr="00C03239">
        <w:rPr>
          <w:rFonts w:ascii="Old Standard" w:hAnsi="Old Standard"/>
          <w:sz w:val="24"/>
          <w:szCs w:val="24"/>
        </w:rPr>
        <w:t>Highlighted India’s efforts in the fight against the pandemic in the region and also reiterated support for ASEAN’s initiatives in this regard.</w:t>
      </w:r>
    </w:p>
    <w:p w14:paraId="57BFF000" w14:textId="74181739" w:rsidR="0099326C" w:rsidRPr="00C03239" w:rsidRDefault="0099326C" w:rsidP="0099326C">
      <w:pPr>
        <w:pStyle w:val="ListParagraph"/>
        <w:numPr>
          <w:ilvl w:val="0"/>
          <w:numId w:val="37"/>
        </w:numPr>
        <w:spacing w:line="360" w:lineRule="auto"/>
        <w:jc w:val="both"/>
        <w:rPr>
          <w:rFonts w:ascii="Old Standard" w:hAnsi="Old Standard"/>
          <w:sz w:val="24"/>
          <w:szCs w:val="24"/>
        </w:rPr>
      </w:pPr>
      <w:r w:rsidRPr="00C03239">
        <w:rPr>
          <w:rFonts w:ascii="Old Standard" w:hAnsi="Old Standard"/>
          <w:sz w:val="24"/>
          <w:szCs w:val="24"/>
        </w:rPr>
        <w:t>India has contributed medical supplies worth USD 200,000 to ASEAN’s humanitarian initiative for Myanmar and USD 1 million for ASEAN’s Covid-19 Response Fund.</w:t>
      </w:r>
    </w:p>
    <w:p w14:paraId="5B3FDBB8" w14:textId="7E10CEBD" w:rsidR="0099326C" w:rsidRPr="00C03239" w:rsidRDefault="0099326C" w:rsidP="00C03239">
      <w:pPr>
        <w:rPr>
          <w:rFonts w:ascii="Old Standard" w:hAnsi="Old Standard"/>
          <w:b/>
          <w:bCs/>
          <w:color w:val="000099"/>
          <w:sz w:val="28"/>
          <w:szCs w:val="28"/>
        </w:rPr>
      </w:pPr>
      <w:r w:rsidRPr="00C03239">
        <w:rPr>
          <w:rFonts w:ascii="Old Standard" w:hAnsi="Old Standard"/>
          <w:b/>
          <w:bCs/>
          <w:color w:val="000099"/>
          <w:sz w:val="28"/>
          <w:szCs w:val="28"/>
        </w:rPr>
        <w:t>India-ASEAN and China</w:t>
      </w:r>
    </w:p>
    <w:p w14:paraId="65D82EB5" w14:textId="0E59D6D1" w:rsidR="0099326C" w:rsidRPr="00C03239" w:rsidRDefault="0099326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t>Traditionally the basis of India-ASEAN ties has been trade and people-to-people ties due to shared historical and cultural roots, a more recent and urgent area of convergence has been balancing China’s rise.</w:t>
      </w:r>
    </w:p>
    <w:p w14:paraId="2792C128" w14:textId="77777777" w:rsidR="0099326C" w:rsidRPr="00C03239" w:rsidRDefault="0099326C" w:rsidP="0099326C">
      <w:pPr>
        <w:pStyle w:val="ListParagraph"/>
        <w:spacing w:line="360" w:lineRule="auto"/>
        <w:jc w:val="both"/>
        <w:rPr>
          <w:rFonts w:ascii="Old Standard" w:hAnsi="Old Standard"/>
          <w:sz w:val="24"/>
          <w:szCs w:val="24"/>
        </w:rPr>
      </w:pPr>
    </w:p>
    <w:p w14:paraId="6F1D1B4C" w14:textId="3D7BDCE9" w:rsidR="0099326C" w:rsidRPr="00C03239" w:rsidRDefault="0099326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t>Both India and ASEAN aim to establish a rules-based security architecture for peaceful development in the region, in contrast to China’s aggressive policies.</w:t>
      </w:r>
    </w:p>
    <w:p w14:paraId="6E7C93DF" w14:textId="77777777" w:rsidR="009B512C" w:rsidRPr="00C03239" w:rsidRDefault="009B512C" w:rsidP="009B512C">
      <w:pPr>
        <w:pStyle w:val="ListParagraph"/>
        <w:rPr>
          <w:rFonts w:ascii="Old Standard" w:hAnsi="Old Standard"/>
          <w:sz w:val="24"/>
          <w:szCs w:val="24"/>
        </w:rPr>
      </w:pPr>
    </w:p>
    <w:p w14:paraId="53D6B222" w14:textId="29BA9B86" w:rsidR="009B512C" w:rsidRPr="00C03239" w:rsidRDefault="009B512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lastRenderedPageBreak/>
        <w:t>Like India, several ASEAN members such as Vietnam, the Philippines, Malaysia, and Brunei have territorial disputes with China, the China factor does form an important component of the relationship.</w:t>
      </w:r>
    </w:p>
    <w:p w14:paraId="02F4104F" w14:textId="77777777" w:rsidR="009B512C" w:rsidRPr="00C03239" w:rsidRDefault="009B512C" w:rsidP="009B512C">
      <w:pPr>
        <w:pStyle w:val="ListParagraph"/>
        <w:rPr>
          <w:rFonts w:ascii="Old Standard" w:hAnsi="Old Standard"/>
          <w:sz w:val="24"/>
          <w:szCs w:val="24"/>
        </w:rPr>
      </w:pPr>
    </w:p>
    <w:p w14:paraId="76ED26BD" w14:textId="7164B638" w:rsidR="009B512C" w:rsidRPr="00C03239" w:rsidRDefault="009B512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t>India in 2014 reinvigorated the Look East policy into Act East, with a more strategic outlook than its previous incarnation, focusing on engagement not just with Southeast Asian countries but also those in the Pacific.</w:t>
      </w:r>
    </w:p>
    <w:p w14:paraId="46C9394D" w14:textId="77777777" w:rsidR="005319CA" w:rsidRPr="00C03239" w:rsidRDefault="005319CA" w:rsidP="005319CA">
      <w:pPr>
        <w:pStyle w:val="ListParagraph"/>
        <w:rPr>
          <w:rFonts w:ascii="Old Standard" w:hAnsi="Old Standard"/>
          <w:sz w:val="24"/>
          <w:szCs w:val="24"/>
        </w:rPr>
      </w:pPr>
    </w:p>
    <w:p w14:paraId="7E04BD1F" w14:textId="77777777" w:rsidR="005319CA" w:rsidRPr="00C03239" w:rsidRDefault="005319CA" w:rsidP="00C03239">
      <w:pPr>
        <w:rPr>
          <w:rFonts w:ascii="Old Standard" w:hAnsi="Old Standard"/>
          <w:b/>
          <w:bCs/>
          <w:color w:val="000099"/>
          <w:sz w:val="28"/>
          <w:szCs w:val="28"/>
        </w:rPr>
      </w:pPr>
      <w:r w:rsidRPr="00C03239">
        <w:rPr>
          <w:rFonts w:ascii="Old Standard" w:hAnsi="Old Standard"/>
          <w:b/>
          <w:bCs/>
          <w:color w:val="000099"/>
          <w:sz w:val="28"/>
          <w:szCs w:val="28"/>
        </w:rPr>
        <w:t>Way Forward</w:t>
      </w:r>
    </w:p>
    <w:p w14:paraId="3FAF652D" w14:textId="047D6F04" w:rsidR="005319CA" w:rsidRPr="00C03239" w:rsidRDefault="005319CA" w:rsidP="005319CA">
      <w:pPr>
        <w:spacing w:line="360" w:lineRule="auto"/>
        <w:jc w:val="both"/>
        <w:rPr>
          <w:rFonts w:ascii="Old Standard" w:hAnsi="Old Standard"/>
          <w:sz w:val="24"/>
          <w:szCs w:val="24"/>
        </w:rPr>
      </w:pPr>
      <w:r w:rsidRPr="00C03239">
        <w:rPr>
          <w:rFonts w:ascii="Old Standard" w:hAnsi="Old Standard"/>
          <w:sz w:val="24"/>
          <w:szCs w:val="24"/>
        </w:rPr>
        <w:t>To further strengthen India-ASEAN cultural connectivity, Prime Minister announced India’s support for establishing the ASEAN Cultural Heritage List. On trade and investment, he underlined the importance of diversification and resilience of supply chains for post-COVID economic recovery and in this regard, the need to revamp the India-ASEAN FTA.</w:t>
      </w:r>
    </w:p>
    <w:sectPr w:rsidR="005319CA" w:rsidRPr="00C032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2622F" w14:textId="77777777" w:rsidR="00534289" w:rsidRDefault="00534289" w:rsidP="000670A7">
      <w:pPr>
        <w:spacing w:after="0" w:line="240" w:lineRule="auto"/>
      </w:pPr>
      <w:r>
        <w:separator/>
      </w:r>
    </w:p>
  </w:endnote>
  <w:endnote w:type="continuationSeparator" w:id="0">
    <w:p w14:paraId="0D022407" w14:textId="77777777" w:rsidR="00534289" w:rsidRDefault="00534289"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C57D1" w14:textId="77777777" w:rsidR="00534289" w:rsidRDefault="00534289" w:rsidP="000670A7">
      <w:pPr>
        <w:spacing w:after="0" w:line="240" w:lineRule="auto"/>
      </w:pPr>
      <w:r>
        <w:separator/>
      </w:r>
    </w:p>
  </w:footnote>
  <w:footnote w:type="continuationSeparator" w:id="0">
    <w:p w14:paraId="50BB318E" w14:textId="77777777" w:rsidR="00534289" w:rsidRDefault="00534289"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4"/>
  </w:num>
  <w:num w:numId="4">
    <w:abstractNumId w:val="30"/>
  </w:num>
  <w:num w:numId="5">
    <w:abstractNumId w:val="13"/>
  </w:num>
  <w:num w:numId="6">
    <w:abstractNumId w:val="17"/>
  </w:num>
  <w:num w:numId="7">
    <w:abstractNumId w:val="3"/>
  </w:num>
  <w:num w:numId="8">
    <w:abstractNumId w:val="0"/>
  </w:num>
  <w:num w:numId="9">
    <w:abstractNumId w:val="6"/>
  </w:num>
  <w:num w:numId="10">
    <w:abstractNumId w:val="5"/>
  </w:num>
  <w:num w:numId="11">
    <w:abstractNumId w:val="21"/>
  </w:num>
  <w:num w:numId="12">
    <w:abstractNumId w:val="33"/>
  </w:num>
  <w:num w:numId="13">
    <w:abstractNumId w:val="24"/>
  </w:num>
  <w:num w:numId="14">
    <w:abstractNumId w:val="36"/>
  </w:num>
  <w:num w:numId="15">
    <w:abstractNumId w:val="2"/>
  </w:num>
  <w:num w:numId="16">
    <w:abstractNumId w:val="12"/>
  </w:num>
  <w:num w:numId="17">
    <w:abstractNumId w:val="32"/>
  </w:num>
  <w:num w:numId="18">
    <w:abstractNumId w:val="27"/>
  </w:num>
  <w:num w:numId="19">
    <w:abstractNumId w:val="19"/>
  </w:num>
  <w:num w:numId="20">
    <w:abstractNumId w:val="25"/>
  </w:num>
  <w:num w:numId="21">
    <w:abstractNumId w:val="20"/>
  </w:num>
  <w:num w:numId="22">
    <w:abstractNumId w:val="31"/>
  </w:num>
  <w:num w:numId="23">
    <w:abstractNumId w:val="22"/>
  </w:num>
  <w:num w:numId="24">
    <w:abstractNumId w:val="26"/>
  </w:num>
  <w:num w:numId="25">
    <w:abstractNumId w:val="28"/>
  </w:num>
  <w:num w:numId="26">
    <w:abstractNumId w:val="23"/>
  </w:num>
  <w:num w:numId="27">
    <w:abstractNumId w:val="1"/>
  </w:num>
  <w:num w:numId="28">
    <w:abstractNumId w:val="14"/>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5"/>
  </w:num>
  <w:num w:numId="35">
    <w:abstractNumId w:val="11"/>
  </w:num>
  <w:num w:numId="36">
    <w:abstractNumId w:val="35"/>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07C76"/>
    <w:rsid w:val="004428CF"/>
    <w:rsid w:val="00445420"/>
    <w:rsid w:val="00453CE2"/>
    <w:rsid w:val="004B020A"/>
    <w:rsid w:val="004F2254"/>
    <w:rsid w:val="00525A7D"/>
    <w:rsid w:val="005319CA"/>
    <w:rsid w:val="00534289"/>
    <w:rsid w:val="00552912"/>
    <w:rsid w:val="005B5CBC"/>
    <w:rsid w:val="005E133C"/>
    <w:rsid w:val="00603C04"/>
    <w:rsid w:val="00613B1D"/>
    <w:rsid w:val="00631224"/>
    <w:rsid w:val="00641BE5"/>
    <w:rsid w:val="00667613"/>
    <w:rsid w:val="006A1E05"/>
    <w:rsid w:val="006B4AE5"/>
    <w:rsid w:val="006C084D"/>
    <w:rsid w:val="007072AC"/>
    <w:rsid w:val="00732374"/>
    <w:rsid w:val="00756FCC"/>
    <w:rsid w:val="007967FF"/>
    <w:rsid w:val="007E0C54"/>
    <w:rsid w:val="008108E4"/>
    <w:rsid w:val="00817537"/>
    <w:rsid w:val="00825F71"/>
    <w:rsid w:val="00832811"/>
    <w:rsid w:val="008353A1"/>
    <w:rsid w:val="00852890"/>
    <w:rsid w:val="008858FE"/>
    <w:rsid w:val="008D2352"/>
    <w:rsid w:val="008E3D2C"/>
    <w:rsid w:val="009208D5"/>
    <w:rsid w:val="00986301"/>
    <w:rsid w:val="0099326C"/>
    <w:rsid w:val="009A11A1"/>
    <w:rsid w:val="009B512C"/>
    <w:rsid w:val="009C2A5F"/>
    <w:rsid w:val="00A734F2"/>
    <w:rsid w:val="00AC6A16"/>
    <w:rsid w:val="00AC6CEA"/>
    <w:rsid w:val="00AD7C35"/>
    <w:rsid w:val="00B650D1"/>
    <w:rsid w:val="00BE1964"/>
    <w:rsid w:val="00C03239"/>
    <w:rsid w:val="00C13996"/>
    <w:rsid w:val="00C27440"/>
    <w:rsid w:val="00C361F6"/>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9</cp:revision>
  <dcterms:created xsi:type="dcterms:W3CDTF">2021-11-08T05:48:00Z</dcterms:created>
  <dcterms:modified xsi:type="dcterms:W3CDTF">2021-11-09T12:21:00Z</dcterms:modified>
</cp:coreProperties>
</file>