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1EEA5" w14:textId="519FB112" w:rsidR="00A4235A" w:rsidRPr="00821779" w:rsidRDefault="00A4235A" w:rsidP="00D3142D">
      <w:pPr>
        <w:spacing w:after="0"/>
        <w:jc w:val="center"/>
        <w:rPr>
          <w:rFonts w:ascii="PT Serif" w:eastAsia="Times New Roman" w:hAnsi="PT Serif" w:cs="Calibri"/>
          <w:b/>
          <w:bCs/>
          <w:color w:val="073763"/>
          <w:sz w:val="36"/>
          <w:szCs w:val="36"/>
          <w:lang w:eastAsia="en-IN"/>
        </w:rPr>
      </w:pPr>
      <w:r w:rsidRPr="00821779">
        <w:rPr>
          <w:rFonts w:ascii="PT Serif" w:eastAsia="Times New Roman" w:hAnsi="PT Serif" w:cs="Calibri"/>
          <w:b/>
          <w:bCs/>
          <w:color w:val="073763"/>
          <w:sz w:val="36"/>
          <w:szCs w:val="36"/>
          <w:lang w:eastAsia="en-IN"/>
        </w:rPr>
        <w:t>Ministry of Finance</w:t>
      </w:r>
    </w:p>
    <w:p w14:paraId="77A60363" w14:textId="7658F2A0" w:rsidR="00D3142D" w:rsidRPr="00821779" w:rsidRDefault="00D3142D" w:rsidP="00D3142D">
      <w:pPr>
        <w:spacing w:after="0"/>
        <w:jc w:val="center"/>
        <w:rPr>
          <w:rFonts w:ascii="PT Serif" w:eastAsia="Times New Roman" w:hAnsi="PT Serif" w:cs="Calibri"/>
          <w:b/>
          <w:bCs/>
          <w:color w:val="073763"/>
          <w:sz w:val="36"/>
          <w:szCs w:val="36"/>
          <w:lang w:eastAsia="en-IN"/>
        </w:rPr>
      </w:pPr>
      <w:r w:rsidRPr="00821779">
        <w:rPr>
          <w:rFonts w:ascii="PT Serif" w:eastAsia="Times New Roman" w:hAnsi="PT Serif" w:cs="Calibri"/>
          <w:b/>
          <w:bCs/>
          <w:color w:val="073763"/>
          <w:sz w:val="36"/>
          <w:szCs w:val="36"/>
          <w:lang w:eastAsia="en-IN"/>
        </w:rPr>
        <w:t>Canteen services for employees out of GST net</w:t>
      </w:r>
    </w:p>
    <w:p w14:paraId="4D60E454" w14:textId="118C62F4" w:rsidR="00A4235A" w:rsidRPr="00CD1998" w:rsidRDefault="00A4235A" w:rsidP="00D3142D">
      <w:pPr>
        <w:spacing w:after="0"/>
        <w:jc w:val="center"/>
        <w:rPr>
          <w:rFonts w:ascii="PT Serif" w:eastAsia="Times New Roman" w:hAnsi="PT Serif" w:cs="Times New Roman"/>
          <w:color w:val="C00000"/>
          <w:sz w:val="24"/>
          <w:szCs w:val="24"/>
          <w:lang w:eastAsia="en-IN"/>
        </w:rPr>
      </w:pPr>
      <w:r w:rsidRPr="00CD1998">
        <w:rPr>
          <w:rFonts w:ascii="PT Serif" w:eastAsia="Times New Roman" w:hAnsi="PT Serif" w:cs="Calibri"/>
          <w:b/>
          <w:bCs/>
          <w:color w:val="C00000"/>
          <w:sz w:val="36"/>
          <w:szCs w:val="36"/>
          <w:lang w:eastAsia="en-IN"/>
        </w:rPr>
        <w:t>Relevant to Taxation Team</w:t>
      </w:r>
    </w:p>
    <w:p w14:paraId="36DCF4D0" w14:textId="77777777" w:rsidR="00D3142D" w:rsidRPr="00821779" w:rsidRDefault="00D3142D" w:rsidP="00D3142D">
      <w:pPr>
        <w:spacing w:after="0"/>
        <w:rPr>
          <w:rFonts w:ascii="PT Serif" w:eastAsia="Times New Roman" w:hAnsi="PT Serif" w:cs="Times New Roman"/>
          <w:sz w:val="24"/>
          <w:szCs w:val="24"/>
          <w:lang w:eastAsia="en-IN"/>
        </w:rPr>
      </w:pPr>
    </w:p>
    <w:p w14:paraId="55A88F2D" w14:textId="77777777" w:rsidR="00D3142D" w:rsidRPr="00821779" w:rsidRDefault="00D3142D" w:rsidP="00D3142D">
      <w:pPr>
        <w:spacing w:after="0"/>
        <w:jc w:val="center"/>
        <w:rPr>
          <w:rFonts w:ascii="PT Serif" w:eastAsia="Times New Roman" w:hAnsi="PT Serif" w:cs="Times New Roman"/>
          <w:sz w:val="24"/>
          <w:szCs w:val="24"/>
          <w:lang w:eastAsia="en-IN"/>
        </w:rPr>
      </w:pPr>
      <w:r w:rsidRPr="00821779">
        <w:rPr>
          <w:rFonts w:ascii="PT Serif" w:eastAsia="Times New Roman" w:hAnsi="PT Serif" w:cs="Calibri"/>
          <w:b/>
          <w:bCs/>
          <w:color w:val="000000"/>
          <w:lang w:eastAsia="en-IN"/>
        </w:rPr>
        <w:t>19th October 2021</w:t>
      </w:r>
    </w:p>
    <w:p w14:paraId="3E89935B" w14:textId="77777777" w:rsidR="00D3142D" w:rsidRPr="00821779" w:rsidRDefault="00D3142D" w:rsidP="00D3142D">
      <w:pPr>
        <w:spacing w:after="0"/>
        <w:rPr>
          <w:rFonts w:ascii="PT Serif" w:eastAsia="Times New Roman" w:hAnsi="PT Serif" w:cs="Times New Roman"/>
          <w:sz w:val="24"/>
          <w:szCs w:val="24"/>
          <w:lang w:eastAsia="en-IN"/>
        </w:rPr>
      </w:pPr>
    </w:p>
    <w:p w14:paraId="3EE6D403" w14:textId="77777777" w:rsidR="00D3142D" w:rsidRPr="00CD1998" w:rsidRDefault="00D3142D" w:rsidP="00D3142D">
      <w:pPr>
        <w:spacing w:after="0"/>
        <w:rPr>
          <w:rFonts w:ascii="PT Serif" w:eastAsia="Times New Roman" w:hAnsi="PT Serif" w:cs="Times New Roman"/>
          <w:color w:val="000099"/>
          <w:sz w:val="24"/>
          <w:szCs w:val="24"/>
          <w:lang w:eastAsia="en-IN"/>
        </w:rPr>
      </w:pPr>
      <w:r w:rsidRPr="00CD1998">
        <w:rPr>
          <w:rFonts w:ascii="PT Serif" w:eastAsia="Times New Roman" w:hAnsi="PT Serif" w:cs="Calibri"/>
          <w:b/>
          <w:bCs/>
          <w:color w:val="000099"/>
          <w:sz w:val="28"/>
          <w:szCs w:val="28"/>
          <w:lang w:eastAsia="en-IN"/>
        </w:rPr>
        <w:t>Introduction</w:t>
      </w:r>
    </w:p>
    <w:p w14:paraId="38605BA5" w14:textId="77777777" w:rsidR="00D3142D" w:rsidRPr="00821779" w:rsidRDefault="00D3142D" w:rsidP="00D3142D">
      <w:pPr>
        <w:spacing w:after="0"/>
        <w:rPr>
          <w:rFonts w:ascii="PT Serif" w:eastAsia="Times New Roman" w:hAnsi="PT Serif" w:cs="Times New Roman"/>
          <w:sz w:val="24"/>
          <w:szCs w:val="24"/>
          <w:lang w:eastAsia="en-IN"/>
        </w:rPr>
      </w:pPr>
    </w:p>
    <w:p w14:paraId="63A899A3" w14:textId="77777777" w:rsidR="00D3142D" w:rsidRPr="00821779" w:rsidRDefault="00D3142D" w:rsidP="00821779">
      <w:pPr>
        <w:spacing w:after="0" w:line="360" w:lineRule="auto"/>
        <w:jc w:val="both"/>
        <w:rPr>
          <w:rFonts w:ascii="PT Serif" w:eastAsia="Times New Roman" w:hAnsi="PT Serif" w:cs="Times New Roman"/>
          <w:sz w:val="24"/>
          <w:szCs w:val="24"/>
          <w:lang w:eastAsia="en-IN"/>
        </w:rPr>
      </w:pPr>
      <w:r w:rsidRPr="00821779">
        <w:rPr>
          <w:rFonts w:ascii="PT Serif" w:eastAsia="Times New Roman" w:hAnsi="PT Serif" w:cs="Calibri"/>
          <w:color w:val="000000"/>
          <w:lang w:eastAsia="en-IN"/>
        </w:rPr>
        <w:t>Following a tax judgement that provides some relief to several large industrial and manufacturing enterprises, canteen expenses collected from employees will henceforth be outside the scope of the goods and services tax.</w:t>
      </w:r>
    </w:p>
    <w:p w14:paraId="561AF41B" w14:textId="77777777" w:rsidR="00D3142D" w:rsidRPr="00821779" w:rsidRDefault="00D3142D" w:rsidP="00D3142D">
      <w:pPr>
        <w:spacing w:after="0"/>
        <w:rPr>
          <w:rFonts w:ascii="PT Serif" w:eastAsia="Times New Roman" w:hAnsi="PT Serif" w:cs="Times New Roman"/>
          <w:sz w:val="24"/>
          <w:szCs w:val="24"/>
          <w:lang w:eastAsia="en-IN"/>
        </w:rPr>
      </w:pPr>
    </w:p>
    <w:p w14:paraId="63138D3E" w14:textId="77777777" w:rsidR="00D3142D" w:rsidRPr="00CD1998" w:rsidRDefault="00D3142D" w:rsidP="00D3142D">
      <w:pPr>
        <w:spacing w:after="0"/>
        <w:rPr>
          <w:rFonts w:ascii="PT Serif" w:eastAsia="Times New Roman" w:hAnsi="PT Serif" w:cs="Times New Roman"/>
          <w:color w:val="000099"/>
          <w:sz w:val="24"/>
          <w:szCs w:val="24"/>
          <w:lang w:eastAsia="en-IN"/>
        </w:rPr>
      </w:pPr>
      <w:r w:rsidRPr="00CD1998">
        <w:rPr>
          <w:rFonts w:ascii="PT Serif" w:eastAsia="Times New Roman" w:hAnsi="PT Serif" w:cs="Calibri"/>
          <w:b/>
          <w:bCs/>
          <w:color w:val="000099"/>
          <w:sz w:val="28"/>
          <w:szCs w:val="28"/>
          <w:lang w:eastAsia="en-IN"/>
        </w:rPr>
        <w:t>Judgement by AAR</w:t>
      </w:r>
    </w:p>
    <w:p w14:paraId="001E70C6" w14:textId="77777777" w:rsidR="00D3142D" w:rsidRPr="00821779" w:rsidRDefault="00D3142D" w:rsidP="00D3142D">
      <w:pPr>
        <w:spacing w:after="0"/>
        <w:rPr>
          <w:rFonts w:ascii="PT Serif" w:eastAsia="Times New Roman" w:hAnsi="PT Serif" w:cs="Times New Roman"/>
          <w:sz w:val="24"/>
          <w:szCs w:val="24"/>
          <w:lang w:eastAsia="en-IN"/>
        </w:rPr>
      </w:pPr>
      <w:r w:rsidRPr="00821779">
        <w:rPr>
          <w:rFonts w:ascii="PT Serif" w:eastAsia="Times New Roman" w:hAnsi="PT Serif" w:cs="Times New Roman"/>
          <w:sz w:val="24"/>
          <w:szCs w:val="24"/>
          <w:lang w:eastAsia="en-IN"/>
        </w:rPr>
        <w:br/>
      </w:r>
    </w:p>
    <w:p w14:paraId="2AD908F7" w14:textId="77777777" w:rsidR="00D3142D" w:rsidRPr="00821779" w:rsidRDefault="00D3142D" w:rsidP="00821779">
      <w:pPr>
        <w:numPr>
          <w:ilvl w:val="0"/>
          <w:numId w:val="4"/>
        </w:numPr>
        <w:spacing w:after="0" w:line="360" w:lineRule="auto"/>
        <w:ind w:left="714" w:hanging="357"/>
        <w:jc w:val="both"/>
        <w:textAlignment w:val="baseline"/>
        <w:rPr>
          <w:rFonts w:ascii="PT Serif" w:eastAsia="Times New Roman" w:hAnsi="PT Serif" w:cs="Calibri"/>
          <w:color w:val="000000"/>
          <w:lang w:eastAsia="en-IN"/>
        </w:rPr>
      </w:pPr>
      <w:r w:rsidRPr="00821779">
        <w:rPr>
          <w:rFonts w:ascii="PT Serif" w:eastAsia="Times New Roman" w:hAnsi="PT Serif" w:cs="Calibri"/>
          <w:color w:val="000000"/>
          <w:lang w:eastAsia="en-IN"/>
        </w:rPr>
        <w:t xml:space="preserve">The </w:t>
      </w:r>
      <w:r w:rsidRPr="00821779">
        <w:rPr>
          <w:rFonts w:ascii="PT Serif" w:eastAsia="Times New Roman" w:hAnsi="PT Serif" w:cs="Calibri"/>
          <w:b/>
          <w:bCs/>
          <w:color w:val="000000"/>
          <w:lang w:eastAsia="en-IN"/>
        </w:rPr>
        <w:t>Gujarat Authority for Advance Ruling (AAR)</w:t>
      </w:r>
      <w:r w:rsidRPr="00821779">
        <w:rPr>
          <w:rFonts w:ascii="PT Serif" w:eastAsia="Times New Roman" w:hAnsi="PT Serif" w:cs="Calibri"/>
          <w:color w:val="000000"/>
          <w:lang w:eastAsia="en-IN"/>
        </w:rPr>
        <w:t xml:space="preserve"> has decided that GST does not apply to the money collected from employees for canteen costs and paid to the canteen service provider.</w:t>
      </w:r>
    </w:p>
    <w:p w14:paraId="6339A593" w14:textId="77777777" w:rsidR="00D3142D" w:rsidRPr="00821779" w:rsidRDefault="00D3142D" w:rsidP="00821779">
      <w:pPr>
        <w:numPr>
          <w:ilvl w:val="0"/>
          <w:numId w:val="4"/>
        </w:numPr>
        <w:spacing w:after="0" w:line="360" w:lineRule="auto"/>
        <w:ind w:left="714" w:hanging="357"/>
        <w:jc w:val="both"/>
        <w:textAlignment w:val="baseline"/>
        <w:rPr>
          <w:rFonts w:ascii="PT Serif" w:eastAsia="Times New Roman" w:hAnsi="PT Serif" w:cs="Calibri"/>
          <w:color w:val="000000"/>
          <w:lang w:eastAsia="en-IN"/>
        </w:rPr>
      </w:pPr>
      <w:r w:rsidRPr="00821779">
        <w:rPr>
          <w:rFonts w:ascii="PT Serif" w:eastAsia="Times New Roman" w:hAnsi="PT Serif" w:cs="Calibri"/>
          <w:color w:val="000000"/>
          <w:lang w:eastAsia="en-IN"/>
        </w:rPr>
        <w:t xml:space="preserve">It went on to say that this would only apply if the </w:t>
      </w:r>
      <w:r w:rsidRPr="00821779">
        <w:rPr>
          <w:rFonts w:ascii="PT Serif" w:eastAsia="Times New Roman" w:hAnsi="PT Serif" w:cs="Calibri"/>
          <w:b/>
          <w:bCs/>
          <w:color w:val="000000"/>
          <w:lang w:eastAsia="en-IN"/>
        </w:rPr>
        <w:t>corporation</w:t>
      </w:r>
      <w:r w:rsidRPr="00821779">
        <w:rPr>
          <w:rFonts w:ascii="PT Serif" w:eastAsia="Times New Roman" w:hAnsi="PT Serif" w:cs="Calibri"/>
          <w:color w:val="000000"/>
          <w:lang w:eastAsia="en-IN"/>
        </w:rPr>
        <w:t xml:space="preserve"> was </w:t>
      </w:r>
      <w:r w:rsidRPr="00821779">
        <w:rPr>
          <w:rFonts w:ascii="PT Serif" w:eastAsia="Times New Roman" w:hAnsi="PT Serif" w:cs="Calibri"/>
          <w:b/>
          <w:bCs/>
          <w:color w:val="000000"/>
          <w:lang w:eastAsia="en-IN"/>
        </w:rPr>
        <w:t xml:space="preserve">not earning any profit </w:t>
      </w:r>
      <w:r w:rsidRPr="00821779">
        <w:rPr>
          <w:rFonts w:ascii="PT Serif" w:eastAsia="Times New Roman" w:hAnsi="PT Serif" w:cs="Calibri"/>
          <w:color w:val="000000"/>
          <w:lang w:eastAsia="en-IN"/>
        </w:rPr>
        <w:t>out of these funds and was only serving as a middleman.</w:t>
      </w:r>
    </w:p>
    <w:p w14:paraId="3591E952" w14:textId="0E02D454" w:rsidR="00D3142D" w:rsidRPr="00821779" w:rsidRDefault="00D3142D" w:rsidP="00821779">
      <w:pPr>
        <w:numPr>
          <w:ilvl w:val="0"/>
          <w:numId w:val="4"/>
        </w:numPr>
        <w:spacing w:after="0" w:line="360" w:lineRule="auto"/>
        <w:ind w:left="714" w:hanging="357"/>
        <w:jc w:val="both"/>
        <w:textAlignment w:val="baseline"/>
        <w:rPr>
          <w:rFonts w:ascii="PT Serif" w:eastAsia="Times New Roman" w:hAnsi="PT Serif" w:cs="Calibri"/>
          <w:color w:val="000000"/>
          <w:lang w:eastAsia="en-IN"/>
        </w:rPr>
      </w:pPr>
      <w:r w:rsidRPr="00821779">
        <w:rPr>
          <w:rFonts w:ascii="PT Serif" w:eastAsia="Times New Roman" w:hAnsi="PT Serif" w:cs="Calibri"/>
          <w:color w:val="000000"/>
          <w:lang w:eastAsia="en-IN"/>
        </w:rPr>
        <w:t xml:space="preserve">Two different authorities took opposing views in two previous AAR judgements. The AAR had held that GST is not chargeable on such an amount in the case of </w:t>
      </w:r>
      <w:r w:rsidR="00821779" w:rsidRPr="00821779">
        <w:rPr>
          <w:rFonts w:ascii="PT Serif" w:eastAsia="Times New Roman" w:hAnsi="PT Serif" w:cs="Calibri"/>
          <w:b/>
          <w:bCs/>
          <w:color w:val="000000"/>
          <w:lang w:eastAsia="en-IN"/>
        </w:rPr>
        <w:t>Tata Motors</w:t>
      </w:r>
      <w:r w:rsidR="00821779" w:rsidRPr="00821779">
        <w:rPr>
          <w:rFonts w:ascii="PT Serif" w:eastAsia="Times New Roman" w:hAnsi="PT Serif" w:cs="Calibri"/>
          <w:color w:val="000000"/>
          <w:lang w:eastAsia="en-IN"/>
        </w:rPr>
        <w:t xml:space="preserve"> but</w:t>
      </w:r>
      <w:r w:rsidRPr="00821779">
        <w:rPr>
          <w:rFonts w:ascii="PT Serif" w:eastAsia="Times New Roman" w:hAnsi="PT Serif" w:cs="Calibri"/>
          <w:color w:val="000000"/>
          <w:lang w:eastAsia="en-IN"/>
        </w:rPr>
        <w:t xml:space="preserve"> had adopted the opposite opinion in the case of </w:t>
      </w:r>
      <w:r w:rsidRPr="00821779">
        <w:rPr>
          <w:rFonts w:ascii="PT Serif" w:eastAsia="Times New Roman" w:hAnsi="PT Serif" w:cs="Calibri"/>
          <w:b/>
          <w:bCs/>
          <w:color w:val="000000"/>
          <w:lang w:eastAsia="en-IN"/>
        </w:rPr>
        <w:t>Amneal Pharmaceuticals</w:t>
      </w:r>
      <w:r w:rsidRPr="00821779">
        <w:rPr>
          <w:rFonts w:ascii="PT Serif" w:eastAsia="Times New Roman" w:hAnsi="PT Serif" w:cs="Calibri"/>
          <w:color w:val="000000"/>
          <w:lang w:eastAsia="en-IN"/>
        </w:rPr>
        <w:t>.</w:t>
      </w:r>
    </w:p>
    <w:p w14:paraId="39B0BE5D" w14:textId="77777777" w:rsidR="00D3142D" w:rsidRPr="00821779" w:rsidRDefault="00D3142D" w:rsidP="00D3142D">
      <w:pPr>
        <w:spacing w:after="0"/>
        <w:rPr>
          <w:rFonts w:ascii="PT Serif" w:eastAsia="Times New Roman" w:hAnsi="PT Serif" w:cs="Times New Roman"/>
          <w:sz w:val="24"/>
          <w:szCs w:val="24"/>
          <w:lang w:eastAsia="en-IN"/>
        </w:rPr>
      </w:pPr>
    </w:p>
    <w:p w14:paraId="4C83CBE1" w14:textId="77777777" w:rsidR="00D3142D" w:rsidRPr="00CD1998" w:rsidRDefault="00D3142D" w:rsidP="00D3142D">
      <w:pPr>
        <w:spacing w:after="0"/>
        <w:rPr>
          <w:rFonts w:ascii="PT Serif" w:eastAsia="Times New Roman" w:hAnsi="PT Serif" w:cs="Times New Roman"/>
          <w:color w:val="000099"/>
          <w:sz w:val="24"/>
          <w:szCs w:val="24"/>
          <w:lang w:eastAsia="en-IN"/>
        </w:rPr>
      </w:pPr>
      <w:r w:rsidRPr="00CD1998">
        <w:rPr>
          <w:rFonts w:ascii="PT Serif" w:eastAsia="Times New Roman" w:hAnsi="PT Serif" w:cs="Calibri"/>
          <w:b/>
          <w:bCs/>
          <w:color w:val="000099"/>
          <w:sz w:val="28"/>
          <w:szCs w:val="28"/>
          <w:lang w:eastAsia="en-IN"/>
        </w:rPr>
        <w:t>Key Points</w:t>
      </w:r>
    </w:p>
    <w:p w14:paraId="77314543" w14:textId="77777777" w:rsidR="00D3142D" w:rsidRPr="00821779" w:rsidRDefault="00D3142D" w:rsidP="00D3142D">
      <w:pPr>
        <w:spacing w:after="0"/>
        <w:rPr>
          <w:rFonts w:ascii="PT Serif" w:eastAsia="Times New Roman" w:hAnsi="PT Serif" w:cs="Times New Roman"/>
          <w:sz w:val="24"/>
          <w:szCs w:val="24"/>
          <w:lang w:eastAsia="en-IN"/>
        </w:rPr>
      </w:pPr>
    </w:p>
    <w:p w14:paraId="383B02F7" w14:textId="77777777" w:rsidR="00D3142D" w:rsidRPr="00821779" w:rsidRDefault="00D3142D" w:rsidP="00821779">
      <w:pPr>
        <w:pStyle w:val="ListParagraph"/>
        <w:numPr>
          <w:ilvl w:val="0"/>
          <w:numId w:val="3"/>
        </w:numPr>
        <w:spacing w:after="0" w:line="360" w:lineRule="auto"/>
        <w:jc w:val="both"/>
        <w:textAlignment w:val="baseline"/>
        <w:rPr>
          <w:rFonts w:ascii="PT Serif" w:eastAsia="Times New Roman" w:hAnsi="PT Serif" w:cs="Calibri"/>
          <w:color w:val="000000"/>
          <w:lang w:eastAsia="en-IN"/>
        </w:rPr>
      </w:pPr>
      <w:r w:rsidRPr="00821779">
        <w:rPr>
          <w:rFonts w:ascii="PT Serif" w:eastAsia="Times New Roman" w:hAnsi="PT Serif" w:cs="Calibri"/>
          <w:color w:val="000000"/>
          <w:lang w:eastAsia="en-IN"/>
        </w:rPr>
        <w:t xml:space="preserve">According to tax experts, this has been a </w:t>
      </w:r>
      <w:r w:rsidRPr="00821779">
        <w:rPr>
          <w:rFonts w:ascii="PT Serif" w:eastAsia="Times New Roman" w:hAnsi="PT Serif" w:cs="Calibri"/>
          <w:b/>
          <w:bCs/>
          <w:color w:val="000000"/>
          <w:lang w:eastAsia="en-IN"/>
        </w:rPr>
        <w:t>point of contention</w:t>
      </w:r>
      <w:r w:rsidRPr="00821779">
        <w:rPr>
          <w:rFonts w:ascii="PT Serif" w:eastAsia="Times New Roman" w:hAnsi="PT Serif" w:cs="Calibri"/>
          <w:color w:val="000000"/>
          <w:lang w:eastAsia="en-IN"/>
        </w:rPr>
        <w:t xml:space="preserve"> among various enterprises that are required by law to provide food canteens.</w:t>
      </w:r>
    </w:p>
    <w:p w14:paraId="4AED9FA9" w14:textId="77777777" w:rsidR="00D3142D" w:rsidRPr="00821779" w:rsidRDefault="00D3142D" w:rsidP="00821779">
      <w:pPr>
        <w:pStyle w:val="ListParagraph"/>
        <w:spacing w:after="0" w:line="360" w:lineRule="auto"/>
        <w:jc w:val="both"/>
        <w:textAlignment w:val="baseline"/>
        <w:rPr>
          <w:rFonts w:ascii="PT Serif" w:eastAsia="Times New Roman" w:hAnsi="PT Serif" w:cs="Calibri"/>
          <w:color w:val="000000"/>
          <w:lang w:eastAsia="en-IN"/>
        </w:rPr>
      </w:pPr>
    </w:p>
    <w:p w14:paraId="1912FFBF" w14:textId="77777777" w:rsidR="00D3142D" w:rsidRPr="00821779" w:rsidRDefault="00D3142D" w:rsidP="00821779">
      <w:pPr>
        <w:pStyle w:val="ListParagraph"/>
        <w:numPr>
          <w:ilvl w:val="0"/>
          <w:numId w:val="3"/>
        </w:numPr>
        <w:spacing w:after="0" w:line="360" w:lineRule="auto"/>
        <w:jc w:val="both"/>
        <w:textAlignment w:val="baseline"/>
        <w:rPr>
          <w:rFonts w:ascii="PT Serif" w:eastAsia="Times New Roman" w:hAnsi="PT Serif" w:cs="Calibri"/>
          <w:color w:val="000000"/>
          <w:lang w:eastAsia="en-IN"/>
        </w:rPr>
      </w:pPr>
      <w:r w:rsidRPr="00821779">
        <w:rPr>
          <w:rFonts w:ascii="PT Serif" w:eastAsia="Times New Roman" w:hAnsi="PT Serif" w:cs="Calibri"/>
          <w:color w:val="000000"/>
          <w:lang w:eastAsia="en-IN"/>
        </w:rPr>
        <w:t xml:space="preserve">In most scenarios, the employees pay a </w:t>
      </w:r>
      <w:r w:rsidRPr="00821779">
        <w:rPr>
          <w:rFonts w:ascii="PT Serif" w:eastAsia="Times New Roman" w:hAnsi="PT Serif" w:cs="Calibri"/>
          <w:b/>
          <w:bCs/>
          <w:color w:val="000000"/>
          <w:lang w:eastAsia="en-IN"/>
        </w:rPr>
        <w:t>nominal amount</w:t>
      </w:r>
      <w:r w:rsidRPr="00821779">
        <w:rPr>
          <w:rFonts w:ascii="PT Serif" w:eastAsia="Times New Roman" w:hAnsi="PT Serif" w:cs="Calibri"/>
          <w:color w:val="000000"/>
          <w:lang w:eastAsia="en-IN"/>
        </w:rPr>
        <w:t>.</w:t>
      </w:r>
    </w:p>
    <w:p w14:paraId="08EA04B4" w14:textId="77777777" w:rsidR="00D3142D" w:rsidRPr="00821779" w:rsidRDefault="00D3142D" w:rsidP="00821779">
      <w:pPr>
        <w:pStyle w:val="ListParagraph"/>
        <w:spacing w:after="0" w:line="360" w:lineRule="auto"/>
        <w:jc w:val="both"/>
        <w:textAlignment w:val="baseline"/>
        <w:rPr>
          <w:rFonts w:ascii="PT Serif" w:eastAsia="Times New Roman" w:hAnsi="PT Serif" w:cs="Calibri"/>
          <w:color w:val="000000"/>
          <w:lang w:eastAsia="en-IN"/>
        </w:rPr>
      </w:pPr>
    </w:p>
    <w:p w14:paraId="14C3175A" w14:textId="77777777" w:rsidR="00D3142D" w:rsidRPr="00821779" w:rsidRDefault="00D3142D" w:rsidP="00821779">
      <w:pPr>
        <w:pStyle w:val="ListParagraph"/>
        <w:numPr>
          <w:ilvl w:val="0"/>
          <w:numId w:val="3"/>
        </w:numPr>
        <w:spacing w:after="0" w:line="360" w:lineRule="auto"/>
        <w:jc w:val="both"/>
        <w:textAlignment w:val="baseline"/>
        <w:rPr>
          <w:rFonts w:ascii="PT Serif" w:eastAsia="Times New Roman" w:hAnsi="PT Serif" w:cs="Calibri"/>
          <w:color w:val="000000"/>
          <w:lang w:eastAsia="en-IN"/>
        </w:rPr>
      </w:pPr>
      <w:r w:rsidRPr="00821779">
        <w:rPr>
          <w:rFonts w:ascii="PT Serif" w:eastAsia="Times New Roman" w:hAnsi="PT Serif" w:cs="Calibri"/>
          <w:color w:val="000000"/>
          <w:lang w:eastAsia="en-IN"/>
        </w:rPr>
        <w:lastRenderedPageBreak/>
        <w:t xml:space="preserve">Previously, there was some </w:t>
      </w:r>
      <w:r w:rsidRPr="00821779">
        <w:rPr>
          <w:rFonts w:ascii="PT Serif" w:eastAsia="Times New Roman" w:hAnsi="PT Serif" w:cs="Calibri"/>
          <w:b/>
          <w:bCs/>
          <w:color w:val="000000"/>
          <w:lang w:eastAsia="en-IN"/>
        </w:rPr>
        <w:t>uncertainty</w:t>
      </w:r>
      <w:r w:rsidRPr="00821779">
        <w:rPr>
          <w:rFonts w:ascii="PT Serif" w:eastAsia="Times New Roman" w:hAnsi="PT Serif" w:cs="Calibri"/>
          <w:color w:val="000000"/>
          <w:lang w:eastAsia="en-IN"/>
        </w:rPr>
        <w:t xml:space="preserve"> about the </w:t>
      </w:r>
      <w:r w:rsidRPr="00821779">
        <w:rPr>
          <w:rFonts w:ascii="PT Serif" w:eastAsia="Times New Roman" w:hAnsi="PT Serif" w:cs="Calibri"/>
          <w:b/>
          <w:bCs/>
          <w:color w:val="000000"/>
          <w:lang w:eastAsia="en-IN"/>
        </w:rPr>
        <w:t>GST</w:t>
      </w:r>
      <w:r w:rsidRPr="00821779">
        <w:rPr>
          <w:rFonts w:ascii="PT Serif" w:eastAsia="Times New Roman" w:hAnsi="PT Serif" w:cs="Calibri"/>
          <w:color w:val="000000"/>
          <w:lang w:eastAsia="en-IN"/>
        </w:rPr>
        <w:t xml:space="preserve"> on canteens and the </w:t>
      </w:r>
      <w:r w:rsidRPr="00821779">
        <w:rPr>
          <w:rFonts w:ascii="PT Serif" w:eastAsia="Times New Roman" w:hAnsi="PT Serif" w:cs="Calibri"/>
          <w:b/>
          <w:bCs/>
          <w:color w:val="000000"/>
          <w:lang w:eastAsia="en-IN"/>
        </w:rPr>
        <w:t>input tax credit</w:t>
      </w:r>
      <w:r w:rsidRPr="00821779">
        <w:rPr>
          <w:rFonts w:ascii="PT Serif" w:eastAsia="Times New Roman" w:hAnsi="PT Serif" w:cs="Calibri"/>
          <w:color w:val="000000"/>
          <w:lang w:eastAsia="en-IN"/>
        </w:rPr>
        <w:t xml:space="preserve"> available to businesses.</w:t>
      </w:r>
    </w:p>
    <w:p w14:paraId="1B63A6BF" w14:textId="77777777" w:rsidR="00D3142D" w:rsidRPr="00821779" w:rsidRDefault="00D3142D" w:rsidP="00821779">
      <w:pPr>
        <w:pStyle w:val="ListParagraph"/>
        <w:spacing w:after="0" w:line="360" w:lineRule="auto"/>
        <w:jc w:val="both"/>
        <w:textAlignment w:val="baseline"/>
        <w:rPr>
          <w:rFonts w:ascii="PT Serif" w:eastAsia="Times New Roman" w:hAnsi="PT Serif" w:cs="Calibri"/>
          <w:color w:val="000000"/>
          <w:lang w:eastAsia="en-IN"/>
        </w:rPr>
      </w:pPr>
    </w:p>
    <w:p w14:paraId="5900B910" w14:textId="77777777" w:rsidR="00D3142D" w:rsidRPr="00821779" w:rsidRDefault="00D3142D" w:rsidP="00821779">
      <w:pPr>
        <w:pStyle w:val="ListParagraph"/>
        <w:numPr>
          <w:ilvl w:val="0"/>
          <w:numId w:val="3"/>
        </w:numPr>
        <w:spacing w:after="0" w:line="360" w:lineRule="auto"/>
        <w:jc w:val="both"/>
        <w:textAlignment w:val="baseline"/>
        <w:rPr>
          <w:rFonts w:ascii="PT Serif" w:eastAsia="Times New Roman" w:hAnsi="PT Serif" w:cs="Calibri"/>
          <w:color w:val="000000"/>
          <w:lang w:eastAsia="en-IN"/>
        </w:rPr>
      </w:pPr>
      <w:r w:rsidRPr="00821779">
        <w:rPr>
          <w:rFonts w:ascii="PT Serif" w:eastAsia="Times New Roman" w:hAnsi="PT Serif" w:cs="Calibri"/>
          <w:color w:val="000000"/>
          <w:lang w:eastAsia="en-IN"/>
        </w:rPr>
        <w:t xml:space="preserve">In </w:t>
      </w:r>
      <w:r w:rsidRPr="00821779">
        <w:rPr>
          <w:rFonts w:ascii="PT Serif" w:eastAsia="Times New Roman" w:hAnsi="PT Serif" w:cs="Calibri"/>
          <w:b/>
          <w:bCs/>
          <w:color w:val="000000"/>
          <w:lang w:eastAsia="en-IN"/>
        </w:rPr>
        <w:t>2018</w:t>
      </w:r>
      <w:r w:rsidRPr="00821779">
        <w:rPr>
          <w:rFonts w:ascii="PT Serif" w:eastAsia="Times New Roman" w:hAnsi="PT Serif" w:cs="Calibri"/>
          <w:color w:val="000000"/>
          <w:lang w:eastAsia="en-IN"/>
        </w:rPr>
        <w:t xml:space="preserve">, the government announced that </w:t>
      </w:r>
      <w:r w:rsidRPr="00821779">
        <w:rPr>
          <w:rFonts w:ascii="PT Serif" w:eastAsia="Times New Roman" w:hAnsi="PT Serif" w:cs="Calibri"/>
          <w:b/>
          <w:bCs/>
          <w:color w:val="000000"/>
          <w:lang w:eastAsia="en-IN"/>
        </w:rPr>
        <w:t>bank</w:t>
      </w:r>
      <w:r w:rsidRPr="00821779">
        <w:rPr>
          <w:rFonts w:ascii="PT Serif" w:eastAsia="Times New Roman" w:hAnsi="PT Serif" w:cs="Calibri"/>
          <w:color w:val="000000"/>
          <w:lang w:eastAsia="en-IN"/>
        </w:rPr>
        <w:t>s could</w:t>
      </w:r>
      <w:r w:rsidRPr="00821779">
        <w:rPr>
          <w:rFonts w:ascii="PT Serif" w:eastAsia="Times New Roman" w:hAnsi="PT Serif" w:cs="Calibri"/>
          <w:b/>
          <w:bCs/>
          <w:color w:val="000000"/>
          <w:lang w:eastAsia="en-IN"/>
        </w:rPr>
        <w:t xml:space="preserve"> claim life insurance premiums</w:t>
      </w:r>
      <w:r w:rsidRPr="00821779">
        <w:rPr>
          <w:rFonts w:ascii="PT Serif" w:eastAsia="Times New Roman" w:hAnsi="PT Serif" w:cs="Calibri"/>
          <w:color w:val="000000"/>
          <w:lang w:eastAsia="en-IN"/>
        </w:rPr>
        <w:t xml:space="preserve"> paid by </w:t>
      </w:r>
      <w:r w:rsidRPr="00821779">
        <w:rPr>
          <w:rFonts w:ascii="PT Serif" w:eastAsia="Times New Roman" w:hAnsi="PT Serif" w:cs="Calibri"/>
          <w:b/>
          <w:bCs/>
          <w:color w:val="000000"/>
          <w:lang w:eastAsia="en-IN"/>
        </w:rPr>
        <w:t>security guards</w:t>
      </w:r>
      <w:r w:rsidRPr="00821779">
        <w:rPr>
          <w:rFonts w:ascii="PT Serif" w:eastAsia="Times New Roman" w:hAnsi="PT Serif" w:cs="Calibri"/>
          <w:color w:val="000000"/>
          <w:lang w:eastAsia="en-IN"/>
        </w:rPr>
        <w:t xml:space="preserve"> as an input tax credit, </w:t>
      </w:r>
      <w:r w:rsidRPr="00821779">
        <w:rPr>
          <w:rFonts w:ascii="PT Serif" w:eastAsia="Times New Roman" w:hAnsi="PT Serif" w:cs="Calibri"/>
          <w:b/>
          <w:bCs/>
          <w:color w:val="000000"/>
          <w:lang w:eastAsia="en-IN"/>
        </w:rPr>
        <w:t>hospitals</w:t>
      </w:r>
      <w:r w:rsidRPr="00821779">
        <w:rPr>
          <w:rFonts w:ascii="PT Serif" w:eastAsia="Times New Roman" w:hAnsi="PT Serif" w:cs="Calibri"/>
          <w:color w:val="000000"/>
          <w:lang w:eastAsia="en-IN"/>
        </w:rPr>
        <w:t xml:space="preserve"> could </w:t>
      </w:r>
      <w:r w:rsidRPr="00821779">
        <w:rPr>
          <w:rFonts w:ascii="PT Serif" w:eastAsia="Times New Roman" w:hAnsi="PT Serif" w:cs="Calibri"/>
          <w:b/>
          <w:bCs/>
          <w:color w:val="000000"/>
          <w:lang w:eastAsia="en-IN"/>
        </w:rPr>
        <w:t>claim medical insurance premiums</w:t>
      </w:r>
      <w:r w:rsidRPr="00821779">
        <w:rPr>
          <w:rFonts w:ascii="PT Serif" w:eastAsia="Times New Roman" w:hAnsi="PT Serif" w:cs="Calibri"/>
          <w:color w:val="000000"/>
          <w:lang w:eastAsia="en-IN"/>
        </w:rPr>
        <w:t xml:space="preserve"> paid by </w:t>
      </w:r>
      <w:r w:rsidRPr="00821779">
        <w:rPr>
          <w:rFonts w:ascii="PT Serif" w:eastAsia="Times New Roman" w:hAnsi="PT Serif" w:cs="Calibri"/>
          <w:b/>
          <w:bCs/>
          <w:color w:val="000000"/>
          <w:lang w:eastAsia="en-IN"/>
        </w:rPr>
        <w:t xml:space="preserve">nurses </w:t>
      </w:r>
      <w:r w:rsidRPr="00821779">
        <w:rPr>
          <w:rFonts w:ascii="PT Serif" w:eastAsia="Times New Roman" w:hAnsi="PT Serif" w:cs="Calibri"/>
          <w:color w:val="000000"/>
          <w:lang w:eastAsia="en-IN"/>
        </w:rPr>
        <w:t>as an input tax credit, and</w:t>
      </w:r>
      <w:r w:rsidRPr="00821779">
        <w:rPr>
          <w:rFonts w:ascii="PT Serif" w:eastAsia="Times New Roman" w:hAnsi="PT Serif" w:cs="Calibri"/>
          <w:b/>
          <w:bCs/>
          <w:color w:val="000000"/>
          <w:lang w:eastAsia="en-IN"/>
        </w:rPr>
        <w:t xml:space="preserve"> businesses</w:t>
      </w:r>
      <w:r w:rsidRPr="00821779">
        <w:rPr>
          <w:rFonts w:ascii="PT Serif" w:eastAsia="Times New Roman" w:hAnsi="PT Serif" w:cs="Calibri"/>
          <w:color w:val="000000"/>
          <w:lang w:eastAsia="en-IN"/>
        </w:rPr>
        <w:t xml:space="preserve"> could </w:t>
      </w:r>
      <w:r w:rsidRPr="00821779">
        <w:rPr>
          <w:rFonts w:ascii="PT Serif" w:eastAsia="Times New Roman" w:hAnsi="PT Serif" w:cs="Calibri"/>
          <w:b/>
          <w:bCs/>
          <w:color w:val="000000"/>
          <w:lang w:eastAsia="en-IN"/>
        </w:rPr>
        <w:t>claim canteen fees</w:t>
      </w:r>
      <w:r w:rsidRPr="00821779">
        <w:rPr>
          <w:rFonts w:ascii="PT Serif" w:eastAsia="Times New Roman" w:hAnsi="PT Serif" w:cs="Calibri"/>
          <w:color w:val="000000"/>
          <w:lang w:eastAsia="en-IN"/>
        </w:rPr>
        <w:t xml:space="preserve"> charged to </w:t>
      </w:r>
      <w:r w:rsidRPr="00821779">
        <w:rPr>
          <w:rFonts w:ascii="PT Serif" w:eastAsia="Times New Roman" w:hAnsi="PT Serif" w:cs="Calibri"/>
          <w:b/>
          <w:bCs/>
          <w:color w:val="000000"/>
          <w:lang w:eastAsia="en-IN"/>
        </w:rPr>
        <w:t xml:space="preserve">labourers </w:t>
      </w:r>
      <w:r w:rsidRPr="00821779">
        <w:rPr>
          <w:rFonts w:ascii="PT Serif" w:eastAsia="Times New Roman" w:hAnsi="PT Serif" w:cs="Calibri"/>
          <w:color w:val="000000"/>
          <w:lang w:eastAsia="en-IN"/>
        </w:rPr>
        <w:t>as an input tax credit.</w:t>
      </w:r>
    </w:p>
    <w:p w14:paraId="0BC88630" w14:textId="77777777" w:rsidR="00D3142D" w:rsidRPr="00821779" w:rsidRDefault="00D3142D" w:rsidP="00821779">
      <w:pPr>
        <w:pStyle w:val="ListParagraph"/>
        <w:spacing w:after="0" w:line="360" w:lineRule="auto"/>
        <w:jc w:val="both"/>
        <w:textAlignment w:val="baseline"/>
        <w:rPr>
          <w:rFonts w:ascii="PT Serif" w:eastAsia="Times New Roman" w:hAnsi="PT Serif" w:cs="Calibri"/>
          <w:color w:val="000000"/>
          <w:lang w:eastAsia="en-IN"/>
        </w:rPr>
      </w:pPr>
    </w:p>
    <w:p w14:paraId="26D09E14" w14:textId="77777777" w:rsidR="00D3142D" w:rsidRPr="00821779" w:rsidRDefault="00D3142D" w:rsidP="00821779">
      <w:pPr>
        <w:pStyle w:val="ListParagraph"/>
        <w:numPr>
          <w:ilvl w:val="0"/>
          <w:numId w:val="3"/>
        </w:numPr>
        <w:spacing w:after="0" w:line="360" w:lineRule="auto"/>
        <w:jc w:val="both"/>
        <w:textAlignment w:val="baseline"/>
        <w:rPr>
          <w:rFonts w:ascii="PT Serif" w:eastAsia="Times New Roman" w:hAnsi="PT Serif" w:cs="Calibri"/>
          <w:color w:val="000000"/>
          <w:lang w:eastAsia="en-IN"/>
        </w:rPr>
      </w:pPr>
      <w:r w:rsidRPr="00821779">
        <w:rPr>
          <w:rFonts w:ascii="PT Serif" w:eastAsia="Times New Roman" w:hAnsi="PT Serif" w:cs="Calibri"/>
          <w:color w:val="000000"/>
          <w:lang w:eastAsia="en-IN"/>
        </w:rPr>
        <w:t>However, the government clarification also meant that in some situations, GST might be charged to canteen prices.</w:t>
      </w:r>
    </w:p>
    <w:p w14:paraId="2C4D3969" w14:textId="77777777" w:rsidR="00D3142D" w:rsidRPr="00821779" w:rsidRDefault="00D3142D" w:rsidP="00821779">
      <w:pPr>
        <w:pStyle w:val="ListParagraph"/>
        <w:spacing w:after="0" w:line="360" w:lineRule="auto"/>
        <w:jc w:val="both"/>
        <w:textAlignment w:val="baseline"/>
        <w:rPr>
          <w:rFonts w:ascii="PT Serif" w:eastAsia="Times New Roman" w:hAnsi="PT Serif" w:cs="Calibri"/>
          <w:color w:val="000000"/>
          <w:lang w:eastAsia="en-IN"/>
        </w:rPr>
      </w:pPr>
    </w:p>
    <w:p w14:paraId="29A04A50" w14:textId="77777777" w:rsidR="00D3142D" w:rsidRPr="00821779" w:rsidRDefault="00D3142D" w:rsidP="00821779">
      <w:pPr>
        <w:pStyle w:val="ListParagraph"/>
        <w:numPr>
          <w:ilvl w:val="0"/>
          <w:numId w:val="3"/>
        </w:numPr>
        <w:spacing w:after="0" w:line="360" w:lineRule="auto"/>
        <w:jc w:val="both"/>
        <w:textAlignment w:val="baseline"/>
        <w:rPr>
          <w:rFonts w:ascii="PT Serif" w:eastAsia="Times New Roman" w:hAnsi="PT Serif" w:cs="Calibri"/>
          <w:color w:val="000000"/>
          <w:lang w:eastAsia="en-IN"/>
        </w:rPr>
      </w:pPr>
      <w:r w:rsidRPr="00821779">
        <w:rPr>
          <w:rFonts w:ascii="PT Serif" w:eastAsia="Times New Roman" w:hAnsi="PT Serif" w:cs="Calibri"/>
          <w:color w:val="000000"/>
          <w:lang w:eastAsia="en-IN"/>
        </w:rPr>
        <w:t xml:space="preserve">According to tax experts, the </w:t>
      </w:r>
      <w:r w:rsidRPr="00821779">
        <w:rPr>
          <w:rFonts w:ascii="PT Serif" w:eastAsia="Times New Roman" w:hAnsi="PT Serif" w:cs="Calibri"/>
          <w:b/>
          <w:bCs/>
          <w:color w:val="000000"/>
          <w:lang w:eastAsia="en-IN"/>
        </w:rPr>
        <w:t>exception</w:t>
      </w:r>
      <w:r w:rsidRPr="00821779">
        <w:rPr>
          <w:rFonts w:ascii="PT Serif" w:eastAsia="Times New Roman" w:hAnsi="PT Serif" w:cs="Calibri"/>
          <w:color w:val="000000"/>
          <w:lang w:eastAsia="en-IN"/>
        </w:rPr>
        <w:t xml:space="preserve"> indicates that any legally compelled service given by any employer will be eligible for an input tax credit.</w:t>
      </w:r>
    </w:p>
    <w:p w14:paraId="054F9863" w14:textId="77777777" w:rsidR="00D3142D" w:rsidRPr="00821779" w:rsidRDefault="00D3142D" w:rsidP="00821779">
      <w:pPr>
        <w:pStyle w:val="ListParagraph"/>
        <w:spacing w:after="0" w:line="360" w:lineRule="auto"/>
        <w:jc w:val="both"/>
        <w:textAlignment w:val="baseline"/>
        <w:rPr>
          <w:rFonts w:ascii="PT Serif" w:eastAsia="Times New Roman" w:hAnsi="PT Serif" w:cs="Calibri"/>
          <w:color w:val="000000"/>
          <w:lang w:eastAsia="en-IN"/>
        </w:rPr>
      </w:pPr>
    </w:p>
    <w:p w14:paraId="5995BFB7" w14:textId="77777777" w:rsidR="00D3142D" w:rsidRPr="00821779" w:rsidRDefault="00D3142D" w:rsidP="00821779">
      <w:pPr>
        <w:pStyle w:val="ListParagraph"/>
        <w:numPr>
          <w:ilvl w:val="0"/>
          <w:numId w:val="3"/>
        </w:numPr>
        <w:spacing w:after="0" w:line="360" w:lineRule="auto"/>
        <w:jc w:val="both"/>
        <w:textAlignment w:val="baseline"/>
        <w:rPr>
          <w:rFonts w:ascii="PT Serif" w:eastAsia="Times New Roman" w:hAnsi="PT Serif" w:cs="Calibri"/>
          <w:color w:val="000000"/>
          <w:lang w:eastAsia="en-IN"/>
        </w:rPr>
      </w:pPr>
      <w:r w:rsidRPr="00821779">
        <w:rPr>
          <w:rFonts w:ascii="PT Serif" w:eastAsia="Times New Roman" w:hAnsi="PT Serif" w:cs="Calibri"/>
          <w:color w:val="000000"/>
          <w:lang w:eastAsia="en-IN"/>
        </w:rPr>
        <w:t xml:space="preserve">The new AAR decision goes even farther. According to the </w:t>
      </w:r>
      <w:r w:rsidRPr="00821779">
        <w:rPr>
          <w:rFonts w:ascii="PT Serif" w:eastAsia="Times New Roman" w:hAnsi="PT Serif" w:cs="Calibri"/>
          <w:b/>
          <w:bCs/>
          <w:color w:val="000000"/>
          <w:lang w:eastAsia="en-IN"/>
        </w:rPr>
        <w:t>AAR</w:t>
      </w:r>
      <w:r w:rsidRPr="00821779">
        <w:rPr>
          <w:rFonts w:ascii="PT Serif" w:eastAsia="Times New Roman" w:hAnsi="PT Serif" w:cs="Calibri"/>
          <w:color w:val="000000"/>
          <w:lang w:eastAsia="en-IN"/>
        </w:rPr>
        <w:t xml:space="preserve"> judgement, any </w:t>
      </w:r>
      <w:r w:rsidRPr="00821779">
        <w:rPr>
          <w:rFonts w:ascii="PT Serif" w:eastAsia="Times New Roman" w:hAnsi="PT Serif" w:cs="Calibri"/>
          <w:b/>
          <w:bCs/>
          <w:color w:val="000000"/>
          <w:lang w:eastAsia="en-IN"/>
        </w:rPr>
        <w:t xml:space="preserve">service </w:t>
      </w:r>
      <w:r w:rsidRPr="00821779">
        <w:rPr>
          <w:rFonts w:ascii="PT Serif" w:eastAsia="Times New Roman" w:hAnsi="PT Serif" w:cs="Calibri"/>
          <w:color w:val="000000"/>
          <w:lang w:eastAsia="en-IN"/>
        </w:rPr>
        <w:t xml:space="preserve">offered by an employer </w:t>
      </w:r>
      <w:r w:rsidRPr="00821779">
        <w:rPr>
          <w:rFonts w:ascii="PT Serif" w:eastAsia="Times New Roman" w:hAnsi="PT Serif" w:cs="Calibri"/>
          <w:b/>
          <w:bCs/>
          <w:color w:val="000000"/>
          <w:lang w:eastAsia="en-IN"/>
        </w:rPr>
        <w:t>without the purpose to profit shall be exempt from GST</w:t>
      </w:r>
      <w:r w:rsidRPr="00821779">
        <w:rPr>
          <w:rFonts w:ascii="PT Serif" w:eastAsia="Times New Roman" w:hAnsi="PT Serif" w:cs="Calibri"/>
          <w:color w:val="000000"/>
          <w:lang w:eastAsia="en-IN"/>
        </w:rPr>
        <w:t>.</w:t>
      </w:r>
    </w:p>
    <w:p w14:paraId="60E8C0B2" w14:textId="77777777" w:rsidR="00D3142D" w:rsidRPr="00821779" w:rsidRDefault="00D3142D" w:rsidP="00D3142D">
      <w:pPr>
        <w:spacing w:after="0"/>
        <w:rPr>
          <w:rFonts w:ascii="PT Serif" w:eastAsia="Times New Roman" w:hAnsi="PT Serif" w:cs="Calibri"/>
          <w:b/>
          <w:bCs/>
          <w:color w:val="000000"/>
          <w:sz w:val="24"/>
          <w:szCs w:val="24"/>
          <w:lang w:eastAsia="en-IN"/>
        </w:rPr>
      </w:pPr>
    </w:p>
    <w:p w14:paraId="5C35581C" w14:textId="46698BD6" w:rsidR="00D3142D" w:rsidRDefault="00D3142D" w:rsidP="00D3142D">
      <w:pPr>
        <w:spacing w:after="0"/>
        <w:rPr>
          <w:rFonts w:ascii="PT Serif" w:eastAsia="Times New Roman" w:hAnsi="PT Serif" w:cs="Calibri"/>
          <w:b/>
          <w:bCs/>
          <w:color w:val="000000"/>
          <w:sz w:val="24"/>
          <w:szCs w:val="24"/>
          <w:lang w:eastAsia="en-IN"/>
        </w:rPr>
      </w:pPr>
      <w:r w:rsidRPr="00821779">
        <w:rPr>
          <w:rFonts w:ascii="PT Serif" w:eastAsia="Times New Roman" w:hAnsi="PT Serif" w:cs="Calibri"/>
          <w:b/>
          <w:bCs/>
          <w:color w:val="000000"/>
          <w:sz w:val="24"/>
          <w:szCs w:val="24"/>
          <w:lang w:eastAsia="en-IN"/>
        </w:rPr>
        <w:t>Input tax credit</w:t>
      </w:r>
    </w:p>
    <w:p w14:paraId="5A265EBE" w14:textId="77777777" w:rsidR="00821779" w:rsidRPr="00821779" w:rsidRDefault="00821779" w:rsidP="00D3142D">
      <w:pPr>
        <w:spacing w:after="0"/>
        <w:rPr>
          <w:rFonts w:ascii="PT Serif" w:eastAsia="Times New Roman" w:hAnsi="PT Serif" w:cs="Times New Roman"/>
          <w:sz w:val="24"/>
          <w:szCs w:val="24"/>
          <w:lang w:eastAsia="en-IN"/>
        </w:rPr>
      </w:pPr>
    </w:p>
    <w:p w14:paraId="05821626" w14:textId="77777777" w:rsidR="00D3142D" w:rsidRPr="00821779" w:rsidRDefault="00D3142D" w:rsidP="00821779">
      <w:pPr>
        <w:spacing w:after="0" w:line="360" w:lineRule="auto"/>
        <w:jc w:val="both"/>
        <w:rPr>
          <w:rFonts w:ascii="PT Serif" w:eastAsia="Times New Roman" w:hAnsi="PT Serif" w:cs="Times New Roman"/>
          <w:sz w:val="24"/>
          <w:szCs w:val="24"/>
          <w:lang w:eastAsia="en-IN"/>
        </w:rPr>
      </w:pPr>
      <w:r w:rsidRPr="00821779">
        <w:rPr>
          <w:rFonts w:ascii="PT Serif" w:eastAsia="Times New Roman" w:hAnsi="PT Serif" w:cs="Calibri"/>
          <w:color w:val="000000"/>
          <w:lang w:eastAsia="en-IN"/>
        </w:rPr>
        <w:t>It is a system that allows a firm or a bank to deduct a portion of the GST paid on input services or raw materials from future tax liabilities.</w:t>
      </w:r>
    </w:p>
    <w:p w14:paraId="6A985976" w14:textId="77777777" w:rsidR="00D3142D" w:rsidRPr="00CD1998" w:rsidRDefault="00D3142D" w:rsidP="00D3142D">
      <w:pPr>
        <w:spacing w:after="0"/>
        <w:rPr>
          <w:rFonts w:ascii="PT Serif" w:eastAsia="Times New Roman" w:hAnsi="PT Serif" w:cs="Times New Roman"/>
          <w:color w:val="000099"/>
          <w:sz w:val="24"/>
          <w:szCs w:val="24"/>
          <w:lang w:eastAsia="en-IN"/>
        </w:rPr>
      </w:pPr>
    </w:p>
    <w:p w14:paraId="71AD03C4" w14:textId="77777777" w:rsidR="00D3142D" w:rsidRPr="00CD1998" w:rsidRDefault="00D3142D" w:rsidP="00D3142D">
      <w:pPr>
        <w:spacing w:after="0"/>
        <w:rPr>
          <w:rFonts w:ascii="PT Serif" w:eastAsia="Times New Roman" w:hAnsi="PT Serif" w:cs="Times New Roman"/>
          <w:color w:val="000099"/>
          <w:sz w:val="24"/>
          <w:szCs w:val="24"/>
          <w:lang w:eastAsia="en-IN"/>
        </w:rPr>
      </w:pPr>
      <w:r w:rsidRPr="00CD1998">
        <w:rPr>
          <w:rFonts w:ascii="PT Serif" w:eastAsia="Times New Roman" w:hAnsi="PT Serif" w:cs="Calibri"/>
          <w:b/>
          <w:bCs/>
          <w:color w:val="000099"/>
          <w:sz w:val="28"/>
          <w:szCs w:val="28"/>
          <w:lang w:eastAsia="en-IN"/>
        </w:rPr>
        <w:t>Reactions to the judgement</w:t>
      </w:r>
    </w:p>
    <w:p w14:paraId="157678BB" w14:textId="77777777" w:rsidR="00D3142D" w:rsidRPr="00821779" w:rsidRDefault="00D3142D" w:rsidP="00D3142D">
      <w:pPr>
        <w:spacing w:after="0"/>
        <w:rPr>
          <w:rFonts w:ascii="PT Serif" w:eastAsia="Times New Roman" w:hAnsi="PT Serif" w:cs="Times New Roman"/>
          <w:sz w:val="24"/>
          <w:szCs w:val="24"/>
          <w:lang w:eastAsia="en-IN"/>
        </w:rPr>
      </w:pPr>
    </w:p>
    <w:tbl>
      <w:tblPr>
        <w:tblW w:w="9598" w:type="dxa"/>
        <w:jc w:val="center"/>
        <w:tblCellMar>
          <w:top w:w="15" w:type="dxa"/>
          <w:left w:w="15" w:type="dxa"/>
          <w:bottom w:w="15" w:type="dxa"/>
          <w:right w:w="15" w:type="dxa"/>
        </w:tblCellMar>
        <w:tblLook w:val="04A0" w:firstRow="1" w:lastRow="0" w:firstColumn="1" w:lastColumn="0" w:noHBand="0" w:noVBand="1"/>
      </w:tblPr>
      <w:tblGrid>
        <w:gridCol w:w="2271"/>
        <w:gridCol w:w="2268"/>
        <w:gridCol w:w="5059"/>
      </w:tblGrid>
      <w:tr w:rsidR="00D3142D" w:rsidRPr="00821779" w14:paraId="64C74630" w14:textId="77777777" w:rsidTr="00D3142D">
        <w:trPr>
          <w:jc w:val="center"/>
        </w:trPr>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026197" w14:textId="77777777" w:rsidR="00D3142D" w:rsidRPr="00821779" w:rsidRDefault="00D3142D" w:rsidP="00D3142D">
            <w:pPr>
              <w:spacing w:after="0"/>
              <w:jc w:val="center"/>
              <w:rPr>
                <w:rFonts w:ascii="PT Serif" w:eastAsia="Times New Roman" w:hAnsi="PT Serif" w:cs="Times New Roman"/>
                <w:sz w:val="24"/>
                <w:szCs w:val="24"/>
                <w:lang w:eastAsia="en-IN"/>
              </w:rPr>
            </w:pPr>
            <w:r w:rsidRPr="00821779">
              <w:rPr>
                <w:rFonts w:ascii="PT Serif" w:eastAsia="Times New Roman" w:hAnsi="PT Serif" w:cs="Calibri"/>
                <w:b/>
                <w:bCs/>
                <w:color w:val="000000"/>
                <w:sz w:val="24"/>
                <w:szCs w:val="24"/>
                <w:lang w:eastAsia="en-IN"/>
              </w:rPr>
              <w:t>Name of the Person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66DEE1" w14:textId="77777777" w:rsidR="00D3142D" w:rsidRPr="00821779" w:rsidRDefault="00D3142D" w:rsidP="00D3142D">
            <w:pPr>
              <w:spacing w:after="0"/>
              <w:jc w:val="center"/>
              <w:rPr>
                <w:rFonts w:ascii="PT Serif" w:eastAsia="Times New Roman" w:hAnsi="PT Serif" w:cs="Times New Roman"/>
                <w:sz w:val="24"/>
                <w:szCs w:val="24"/>
                <w:lang w:eastAsia="en-IN"/>
              </w:rPr>
            </w:pPr>
            <w:r w:rsidRPr="00821779">
              <w:rPr>
                <w:rFonts w:ascii="PT Serif" w:eastAsia="Times New Roman" w:hAnsi="PT Serif" w:cs="Calibri"/>
                <w:b/>
                <w:bCs/>
                <w:color w:val="000000"/>
                <w:sz w:val="24"/>
                <w:szCs w:val="24"/>
                <w:lang w:eastAsia="en-IN"/>
              </w:rPr>
              <w:t>Company/ Industry</w:t>
            </w:r>
          </w:p>
        </w:tc>
        <w:tc>
          <w:tcPr>
            <w:tcW w:w="5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8155DA" w14:textId="77777777" w:rsidR="00D3142D" w:rsidRPr="00821779" w:rsidRDefault="00D3142D" w:rsidP="00D3142D">
            <w:pPr>
              <w:spacing w:after="0"/>
              <w:jc w:val="center"/>
              <w:rPr>
                <w:rFonts w:ascii="PT Serif" w:eastAsia="Times New Roman" w:hAnsi="PT Serif" w:cs="Times New Roman"/>
                <w:sz w:val="24"/>
                <w:szCs w:val="24"/>
                <w:lang w:eastAsia="en-IN"/>
              </w:rPr>
            </w:pPr>
            <w:r w:rsidRPr="00821779">
              <w:rPr>
                <w:rFonts w:ascii="PT Serif" w:eastAsia="Times New Roman" w:hAnsi="PT Serif" w:cs="Calibri"/>
                <w:b/>
                <w:bCs/>
                <w:color w:val="000000"/>
                <w:sz w:val="24"/>
                <w:szCs w:val="24"/>
                <w:lang w:eastAsia="en-IN"/>
              </w:rPr>
              <w:t>Reaction</w:t>
            </w:r>
          </w:p>
        </w:tc>
      </w:tr>
      <w:tr w:rsidR="00D3142D" w:rsidRPr="00821779" w14:paraId="3DC6AF39" w14:textId="77777777" w:rsidTr="00D3142D">
        <w:trPr>
          <w:jc w:val="center"/>
        </w:trPr>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DC8FE8" w14:textId="77777777" w:rsidR="00D3142D" w:rsidRPr="00821779" w:rsidRDefault="00D3142D" w:rsidP="00D3142D">
            <w:pPr>
              <w:spacing w:after="0"/>
              <w:jc w:val="center"/>
              <w:rPr>
                <w:rFonts w:ascii="PT Serif" w:eastAsia="Times New Roman" w:hAnsi="PT Serif" w:cs="Times New Roman"/>
                <w:sz w:val="24"/>
                <w:szCs w:val="24"/>
                <w:lang w:eastAsia="en-IN"/>
              </w:rPr>
            </w:pPr>
            <w:r w:rsidRPr="00821779">
              <w:rPr>
                <w:rFonts w:ascii="PT Serif" w:eastAsia="Times New Roman" w:hAnsi="PT Serif" w:cs="Calibri"/>
                <w:b/>
                <w:bCs/>
                <w:color w:val="000000"/>
                <w:lang w:eastAsia="en-IN"/>
              </w:rPr>
              <w:t>Rakesh Nangia</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898368" w14:textId="77777777" w:rsidR="00D3142D" w:rsidRPr="00821779" w:rsidRDefault="00D3142D" w:rsidP="00D3142D">
            <w:pPr>
              <w:spacing w:after="0"/>
              <w:jc w:val="center"/>
              <w:rPr>
                <w:rFonts w:ascii="PT Serif" w:eastAsia="Times New Roman" w:hAnsi="PT Serif" w:cs="Times New Roman"/>
                <w:sz w:val="24"/>
                <w:szCs w:val="24"/>
                <w:lang w:eastAsia="en-IN"/>
              </w:rPr>
            </w:pPr>
            <w:r w:rsidRPr="00821779">
              <w:rPr>
                <w:rFonts w:ascii="PT Serif" w:eastAsia="Times New Roman" w:hAnsi="PT Serif" w:cs="Calibri"/>
                <w:b/>
                <w:bCs/>
                <w:color w:val="000000"/>
                <w:lang w:eastAsia="en-IN"/>
              </w:rPr>
              <w:t>Managing Partner of Nangia Andersen India</w:t>
            </w:r>
          </w:p>
        </w:tc>
        <w:tc>
          <w:tcPr>
            <w:tcW w:w="5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831B9A" w14:textId="77777777" w:rsidR="00D3142D" w:rsidRPr="00821779" w:rsidRDefault="00D3142D" w:rsidP="00CD1998">
            <w:pPr>
              <w:spacing w:after="0"/>
              <w:jc w:val="both"/>
              <w:rPr>
                <w:rFonts w:ascii="PT Serif" w:eastAsia="Times New Roman" w:hAnsi="PT Serif" w:cs="Times New Roman"/>
                <w:sz w:val="24"/>
                <w:szCs w:val="24"/>
                <w:lang w:eastAsia="en-IN"/>
              </w:rPr>
            </w:pPr>
            <w:r w:rsidRPr="00821779">
              <w:rPr>
                <w:rFonts w:ascii="PT Serif" w:eastAsia="Times New Roman" w:hAnsi="PT Serif" w:cs="Calibri"/>
                <w:color w:val="000000"/>
                <w:lang w:eastAsia="en-IN"/>
              </w:rPr>
              <w:t xml:space="preserve">The provision of employee canteen facilities and GST payment has been a topic of dispute across the sector, and numerous judgements have been pronounced in favour of and against the applicant in the stated subject.  In light of varying perspectives from various agencies, </w:t>
            </w:r>
            <w:r w:rsidRPr="00821779">
              <w:rPr>
                <w:rFonts w:ascii="PT Serif" w:eastAsia="Times New Roman" w:hAnsi="PT Serif" w:cs="Calibri"/>
                <w:color w:val="000000"/>
                <w:lang w:eastAsia="en-IN"/>
              </w:rPr>
              <w:lastRenderedPageBreak/>
              <w:t>adequate explanation from the Central Board of Indirect Taxes and Customs may put this problem to rest and assist the industry to adopt a realistic and unambiguous perspective.</w:t>
            </w:r>
          </w:p>
        </w:tc>
      </w:tr>
      <w:tr w:rsidR="00D3142D" w:rsidRPr="00821779" w14:paraId="2B710802" w14:textId="77777777" w:rsidTr="00D3142D">
        <w:trPr>
          <w:jc w:val="center"/>
        </w:trPr>
        <w:tc>
          <w:tcPr>
            <w:tcW w:w="2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3CF41A" w14:textId="77777777" w:rsidR="00D3142D" w:rsidRPr="00821779" w:rsidRDefault="00D3142D" w:rsidP="00D3142D">
            <w:pPr>
              <w:spacing w:after="0"/>
              <w:jc w:val="center"/>
              <w:rPr>
                <w:rFonts w:ascii="PT Serif" w:eastAsia="Times New Roman" w:hAnsi="PT Serif" w:cs="Times New Roman"/>
                <w:sz w:val="24"/>
                <w:szCs w:val="24"/>
                <w:lang w:eastAsia="en-IN"/>
              </w:rPr>
            </w:pPr>
            <w:r w:rsidRPr="00821779">
              <w:rPr>
                <w:rFonts w:ascii="PT Serif" w:eastAsia="Times New Roman" w:hAnsi="PT Serif" w:cs="Calibri"/>
                <w:b/>
                <w:bCs/>
                <w:color w:val="000000"/>
                <w:lang w:eastAsia="en-IN"/>
              </w:rPr>
              <w:lastRenderedPageBreak/>
              <w:t>Rajat Mohan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6D4D7B" w14:textId="77777777" w:rsidR="00D3142D" w:rsidRPr="00821779" w:rsidRDefault="00D3142D" w:rsidP="00D3142D">
            <w:pPr>
              <w:spacing w:after="0"/>
              <w:jc w:val="center"/>
              <w:rPr>
                <w:rFonts w:ascii="PT Serif" w:eastAsia="Times New Roman" w:hAnsi="PT Serif" w:cs="Times New Roman"/>
                <w:sz w:val="24"/>
                <w:szCs w:val="24"/>
                <w:lang w:eastAsia="en-IN"/>
              </w:rPr>
            </w:pPr>
            <w:r w:rsidRPr="00821779">
              <w:rPr>
                <w:rFonts w:ascii="PT Serif" w:eastAsia="Times New Roman" w:hAnsi="PT Serif" w:cs="Calibri"/>
                <w:b/>
                <w:bCs/>
                <w:color w:val="000000"/>
                <w:lang w:eastAsia="en-IN"/>
              </w:rPr>
              <w:t>Senior Partner, AMRG &amp; Associates</w:t>
            </w:r>
          </w:p>
        </w:tc>
        <w:tc>
          <w:tcPr>
            <w:tcW w:w="5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423ED2" w14:textId="77777777" w:rsidR="00D3142D" w:rsidRPr="00821779" w:rsidRDefault="00D3142D" w:rsidP="00CD1998">
            <w:pPr>
              <w:spacing w:after="0"/>
              <w:jc w:val="both"/>
              <w:rPr>
                <w:rFonts w:ascii="PT Serif" w:eastAsia="Times New Roman" w:hAnsi="PT Serif" w:cs="Times New Roman"/>
                <w:sz w:val="24"/>
                <w:szCs w:val="24"/>
                <w:lang w:eastAsia="en-IN"/>
              </w:rPr>
            </w:pPr>
            <w:r w:rsidRPr="00821779">
              <w:rPr>
                <w:rFonts w:ascii="PT Serif" w:eastAsia="Times New Roman" w:hAnsi="PT Serif" w:cs="Calibri"/>
                <w:color w:val="000000"/>
                <w:lang w:eastAsia="en-IN"/>
              </w:rPr>
              <w:t>Corporations that provide subsidised dining facilities charge a 5% tax on food recoveries made from employees. The authority has concluded that where the employer bears the canteen costs and just a little portion is charged to employees, no GST is due on the recoveries. This judgement is persuasive enough to persuade all corporate taxpayers to adopt a tax-efficient tax strategy.</w:t>
            </w:r>
          </w:p>
        </w:tc>
      </w:tr>
    </w:tbl>
    <w:p w14:paraId="2A4D092C" w14:textId="77777777" w:rsidR="00D3142D" w:rsidRPr="00821779" w:rsidRDefault="00D3142D" w:rsidP="00D3142D">
      <w:pPr>
        <w:spacing w:after="0"/>
        <w:rPr>
          <w:rFonts w:ascii="PT Serif" w:eastAsia="Times New Roman" w:hAnsi="PT Serif" w:cs="Times New Roman"/>
          <w:sz w:val="24"/>
          <w:szCs w:val="24"/>
          <w:lang w:eastAsia="en-IN"/>
        </w:rPr>
      </w:pPr>
    </w:p>
    <w:p w14:paraId="6865ABA8" w14:textId="77777777" w:rsidR="00947A82" w:rsidRPr="00821779" w:rsidRDefault="00D3142D" w:rsidP="00D3142D">
      <w:pPr>
        <w:spacing w:after="0"/>
        <w:jc w:val="center"/>
        <w:rPr>
          <w:rFonts w:ascii="PT Serif" w:eastAsia="Times New Roman" w:hAnsi="PT Serif" w:cs="Times New Roman"/>
          <w:sz w:val="24"/>
          <w:szCs w:val="24"/>
          <w:lang w:eastAsia="en-IN"/>
        </w:rPr>
      </w:pPr>
      <w:r w:rsidRPr="00821779">
        <w:rPr>
          <w:rFonts w:ascii="PT Serif" w:eastAsia="Times New Roman" w:hAnsi="PT Serif" w:cs="Calibri"/>
          <w:b/>
          <w:bCs/>
          <w:noProof/>
          <w:color w:val="980000"/>
          <w:sz w:val="28"/>
          <w:szCs w:val="28"/>
          <w:bdr w:val="none" w:sz="0" w:space="0" w:color="auto" w:frame="1"/>
          <w:lang w:eastAsia="en-IN"/>
        </w:rPr>
        <w:drawing>
          <wp:inline distT="0" distB="0" distL="0" distR="0" wp14:anchorId="1F774199" wp14:editId="3D1C3DD5">
            <wp:extent cx="4581525" cy="2619375"/>
            <wp:effectExtent l="0" t="0" r="9525" b="9525"/>
            <wp:docPr id="1" name="Picture 1" descr="https://lh6.googleusercontent.com/oUN9EmslSSSdQ2To2QagqYwB8AzLncGLinLCM7P8MbHi2Se-q7cJk6ehtouSAoGB4qrRQcHQhJf0O-N7lbNHzUy1rDuWhIY2I32yuuDsh-P6v1BEeUDVTSneus5wAB1W8h7x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UN9EmslSSSdQ2To2QagqYwB8AzLncGLinLCM7P8MbHi2Se-q7cJk6ehtouSAoGB4qrRQcHQhJf0O-N7lbNHzUy1rDuWhIY2I32yuuDsh-P6v1BEeUDVTSneus5wAB1W8h7xis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271" cy="2620945"/>
                    </a:xfrm>
                    <a:prstGeom prst="rect">
                      <a:avLst/>
                    </a:prstGeom>
                    <a:noFill/>
                    <a:ln>
                      <a:noFill/>
                    </a:ln>
                  </pic:spPr>
                </pic:pic>
              </a:graphicData>
            </a:graphic>
          </wp:inline>
        </w:drawing>
      </w:r>
    </w:p>
    <w:sectPr w:rsidR="00947A82" w:rsidRPr="00821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T Serif">
    <w:charset w:val="00"/>
    <w:family w:val="roman"/>
    <w:pitch w:val="variable"/>
    <w:sig w:usb0="A00002E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85C45"/>
    <w:multiLevelType w:val="hybridMultilevel"/>
    <w:tmpl w:val="63A29364"/>
    <w:lvl w:ilvl="0" w:tplc="F5267A3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66289E"/>
    <w:multiLevelType w:val="multilevel"/>
    <w:tmpl w:val="BAC0D3B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50D4E"/>
    <w:multiLevelType w:val="multilevel"/>
    <w:tmpl w:val="2DCE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F3B8F"/>
    <w:multiLevelType w:val="multilevel"/>
    <w:tmpl w:val="2B16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55D2"/>
    <w:rsid w:val="00821779"/>
    <w:rsid w:val="00947A82"/>
    <w:rsid w:val="00A4235A"/>
    <w:rsid w:val="00CD1998"/>
    <w:rsid w:val="00D3142D"/>
    <w:rsid w:val="00F25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01BFA"/>
  <w15:docId w15:val="{38B694D5-F50C-42DA-A734-BCC7C992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14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31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42D"/>
    <w:rPr>
      <w:rFonts w:ascii="Tahoma" w:hAnsi="Tahoma" w:cs="Tahoma"/>
      <w:sz w:val="16"/>
      <w:szCs w:val="16"/>
    </w:rPr>
  </w:style>
  <w:style w:type="paragraph" w:styleId="ListParagraph">
    <w:name w:val="List Paragraph"/>
    <w:basedOn w:val="Normal"/>
    <w:uiPriority w:val="34"/>
    <w:qFormat/>
    <w:rsid w:val="00D31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243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3</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SUNDER SHYAM - DELHI</cp:lastModifiedBy>
  <cp:revision>3</cp:revision>
  <dcterms:created xsi:type="dcterms:W3CDTF">2021-10-27T11:14:00Z</dcterms:created>
  <dcterms:modified xsi:type="dcterms:W3CDTF">2021-11-08T09:54:00Z</dcterms:modified>
</cp:coreProperties>
</file>