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99E1" w14:textId="77777777" w:rsidR="00266864" w:rsidRPr="001C5F74" w:rsidRDefault="00266864" w:rsidP="00266864">
      <w:pPr>
        <w:spacing w:after="0"/>
        <w:jc w:val="center"/>
        <w:rPr>
          <w:rFonts w:ascii="Old Standard" w:eastAsia="Times New Roman" w:hAnsi="Old Standard" w:cs="Calibri"/>
          <w:b/>
          <w:bCs/>
          <w:color w:val="073763"/>
          <w:sz w:val="36"/>
          <w:szCs w:val="36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73763"/>
          <w:sz w:val="36"/>
          <w:szCs w:val="36"/>
          <w:lang w:eastAsia="en-IN"/>
        </w:rPr>
        <w:t>Ministry of Finance</w:t>
      </w:r>
    </w:p>
    <w:p w14:paraId="7E6F1245" w14:textId="77777777" w:rsidR="00266864" w:rsidRPr="001C5F74" w:rsidRDefault="00266864" w:rsidP="00266864">
      <w:pPr>
        <w:spacing w:after="0"/>
        <w:jc w:val="center"/>
        <w:rPr>
          <w:rFonts w:ascii="Old Standard" w:eastAsia="Times New Roman" w:hAnsi="Old Standard" w:cs="Calibri"/>
          <w:b/>
          <w:bCs/>
          <w:color w:val="073763"/>
          <w:sz w:val="36"/>
          <w:szCs w:val="36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73763"/>
          <w:sz w:val="36"/>
          <w:szCs w:val="36"/>
          <w:lang w:eastAsia="en-IN"/>
        </w:rPr>
        <w:t>Canteen services for employees out of GST net</w:t>
      </w:r>
    </w:p>
    <w:p w14:paraId="061CD07D" w14:textId="77777777" w:rsidR="00266864" w:rsidRPr="001C5F74" w:rsidRDefault="00266864" w:rsidP="00266864">
      <w:pPr>
        <w:spacing w:after="0"/>
        <w:jc w:val="center"/>
        <w:rPr>
          <w:rFonts w:ascii="Old Standard" w:eastAsia="Times New Roman" w:hAnsi="Old Standard" w:cs="Times New Roman"/>
          <w:color w:val="C00000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C00000"/>
          <w:sz w:val="36"/>
          <w:szCs w:val="36"/>
          <w:lang w:eastAsia="en-IN"/>
        </w:rPr>
        <w:t>Relevant to Taxation Team</w:t>
      </w:r>
    </w:p>
    <w:p w14:paraId="1A7702C9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62B29569" w14:textId="77777777" w:rsidR="00266864" w:rsidRPr="001C5F74" w:rsidRDefault="00266864" w:rsidP="00266864">
      <w:pPr>
        <w:spacing w:after="0"/>
        <w:jc w:val="center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19th October 2021</w:t>
      </w:r>
    </w:p>
    <w:p w14:paraId="781AC66A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363AD894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Introduction</w:t>
      </w:r>
    </w:p>
    <w:p w14:paraId="0A937A37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56C4384A" w14:textId="77777777" w:rsidR="00266864" w:rsidRPr="001C5F74" w:rsidRDefault="00266864" w:rsidP="00266864">
      <w:pPr>
        <w:spacing w:after="0" w:line="360" w:lineRule="auto"/>
        <w:jc w:val="both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>Following a tax judgement that provides some relief to several large industrial and manufacturing enterprises, canteen expenses collected from employees will henceforth be outside the scope of the goods and services tax.</w:t>
      </w:r>
    </w:p>
    <w:p w14:paraId="40B06472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4A0A4307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Judgement by AAR</w:t>
      </w:r>
    </w:p>
    <w:p w14:paraId="06BA46AD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Times New Roman"/>
          <w:sz w:val="24"/>
          <w:szCs w:val="24"/>
          <w:lang w:eastAsia="en-IN"/>
        </w:rPr>
        <w:br/>
      </w:r>
    </w:p>
    <w:p w14:paraId="33361A3D" w14:textId="77777777" w:rsidR="00266864" w:rsidRPr="001C5F74" w:rsidRDefault="00266864" w:rsidP="00266864">
      <w:pPr>
        <w:numPr>
          <w:ilvl w:val="0"/>
          <w:numId w:val="40"/>
        </w:numPr>
        <w:spacing w:after="0" w:line="360" w:lineRule="auto"/>
        <w:ind w:left="714" w:hanging="357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The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Gujarat Authority for Advance Ruling (AAR)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has decided that GST does not apply to the money collected from employees for canteen costs and paid to the canteen service provider.</w:t>
      </w:r>
    </w:p>
    <w:p w14:paraId="3D996343" w14:textId="77777777" w:rsidR="00266864" w:rsidRPr="001C5F74" w:rsidRDefault="00266864" w:rsidP="00266864">
      <w:pPr>
        <w:numPr>
          <w:ilvl w:val="0"/>
          <w:numId w:val="40"/>
        </w:numPr>
        <w:spacing w:after="0" w:line="360" w:lineRule="auto"/>
        <w:ind w:left="714" w:hanging="357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It went on to say that this would only apply if the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corporation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was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 xml:space="preserve">not earning any profit 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>out of these funds and was only serving as a middleman.</w:t>
      </w:r>
    </w:p>
    <w:p w14:paraId="4081D7A8" w14:textId="77777777" w:rsidR="00266864" w:rsidRPr="001C5F74" w:rsidRDefault="00266864" w:rsidP="00266864">
      <w:pPr>
        <w:numPr>
          <w:ilvl w:val="0"/>
          <w:numId w:val="40"/>
        </w:numPr>
        <w:spacing w:after="0" w:line="360" w:lineRule="auto"/>
        <w:ind w:left="714" w:hanging="357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Two different authorities took opposing views in two previous AAR judgements. The AAR had held that GST is not chargeable on such an amount in the case of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Tata Motors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but had adopted the opposite opinion in the case of </w:t>
      </w:r>
      <w:proofErr w:type="spellStart"/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Amneal</w:t>
      </w:r>
      <w:proofErr w:type="spellEnd"/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 xml:space="preserve"> Pharmaceuticals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>.</w:t>
      </w:r>
    </w:p>
    <w:p w14:paraId="503B2B76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08FF2922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Key Points</w:t>
      </w:r>
    </w:p>
    <w:p w14:paraId="3FD9B9F8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1EC036E9" w14:textId="77777777" w:rsidR="00266864" w:rsidRPr="001C5F74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According to tax experts, this has been a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point of contention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among various enterprises that are required by law to provide food canteens.</w:t>
      </w:r>
    </w:p>
    <w:p w14:paraId="4F075DFD" w14:textId="77777777" w:rsidR="00266864" w:rsidRPr="001C5F74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</w:p>
    <w:p w14:paraId="68AD887A" w14:textId="77777777" w:rsidR="00266864" w:rsidRPr="001C5F74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In most scenarios, the employees pay a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nominal amount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>.</w:t>
      </w:r>
    </w:p>
    <w:p w14:paraId="64599ACB" w14:textId="77777777" w:rsidR="00266864" w:rsidRPr="001C5F74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</w:p>
    <w:p w14:paraId="5C943BDB" w14:textId="77777777" w:rsidR="00266864" w:rsidRPr="001C5F74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Previously, there was some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uncertainty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about the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GST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on canteens and the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input tax credit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available to businesses.</w:t>
      </w:r>
    </w:p>
    <w:p w14:paraId="3DC91FCB" w14:textId="77777777" w:rsidR="00266864" w:rsidRPr="001C5F74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</w:p>
    <w:p w14:paraId="67D5836A" w14:textId="77777777" w:rsidR="00266864" w:rsidRPr="001C5F74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In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2018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, the government announced that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bank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>s could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 xml:space="preserve"> claim life insurance premiums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paid by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security guards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as an input tax credit,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hospitals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could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claim medical insurance premiums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paid by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 xml:space="preserve">nurses 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>as an input tax credit, and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 xml:space="preserve"> businesses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could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claim canteen fees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charged to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 xml:space="preserve">labourers 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>as an input tax credit.</w:t>
      </w:r>
    </w:p>
    <w:p w14:paraId="051F5D17" w14:textId="77777777" w:rsidR="00266864" w:rsidRPr="001C5F74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</w:p>
    <w:p w14:paraId="1F42FE32" w14:textId="77777777" w:rsidR="00266864" w:rsidRPr="001C5F74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>However, the government clarification also meant that in some situations, GST might be charged to canteen prices.</w:t>
      </w:r>
    </w:p>
    <w:p w14:paraId="681E7889" w14:textId="77777777" w:rsidR="00266864" w:rsidRPr="001C5F74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</w:p>
    <w:p w14:paraId="74031EB2" w14:textId="77777777" w:rsidR="00266864" w:rsidRPr="001C5F74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According to tax experts, the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exception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indicates that any legally compelled service given by any employer will be eligible for an input tax credit.</w:t>
      </w:r>
    </w:p>
    <w:p w14:paraId="36BD8754" w14:textId="77777777" w:rsidR="00266864" w:rsidRPr="001C5F74" w:rsidRDefault="00266864" w:rsidP="00266864">
      <w:pPr>
        <w:pStyle w:val="ListParagraph"/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</w:p>
    <w:p w14:paraId="1FFD7450" w14:textId="77777777" w:rsidR="00266864" w:rsidRPr="001C5F74" w:rsidRDefault="00266864" w:rsidP="0026686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Old Standard" w:eastAsia="Times New Roman" w:hAnsi="Old Standard" w:cs="Calibri"/>
          <w:color w:val="000000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The new AAR decision goes even farther. According to the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AAR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 judgement, any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 xml:space="preserve">service 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 xml:space="preserve">offered by an employer </w:t>
      </w:r>
      <w:r w:rsidRPr="001C5F74">
        <w:rPr>
          <w:rFonts w:ascii="Old Standard" w:eastAsia="Times New Roman" w:hAnsi="Old Standard" w:cs="Calibri"/>
          <w:b/>
          <w:bCs/>
          <w:color w:val="000000"/>
          <w:lang w:eastAsia="en-IN"/>
        </w:rPr>
        <w:t>without the purpose to profit shall be exempt from GST</w:t>
      </w:r>
      <w:r w:rsidRPr="001C5F74">
        <w:rPr>
          <w:rFonts w:ascii="Old Standard" w:eastAsia="Times New Roman" w:hAnsi="Old Standard" w:cs="Calibri"/>
          <w:color w:val="000000"/>
          <w:lang w:eastAsia="en-IN"/>
        </w:rPr>
        <w:t>.</w:t>
      </w:r>
    </w:p>
    <w:p w14:paraId="5963EFE3" w14:textId="77777777" w:rsidR="00266864" w:rsidRPr="001C5F74" w:rsidRDefault="00266864" w:rsidP="00266864">
      <w:pPr>
        <w:spacing w:after="0"/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</w:pPr>
    </w:p>
    <w:p w14:paraId="69F6B499" w14:textId="77777777" w:rsidR="00266864" w:rsidRPr="001C5F74" w:rsidRDefault="00266864" w:rsidP="00266864">
      <w:pPr>
        <w:spacing w:after="0"/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00"/>
          <w:sz w:val="24"/>
          <w:szCs w:val="24"/>
          <w:lang w:eastAsia="en-IN"/>
        </w:rPr>
        <w:t>Input tax credit</w:t>
      </w:r>
    </w:p>
    <w:p w14:paraId="387B4951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6CB88C4E" w14:textId="77777777" w:rsidR="00266864" w:rsidRPr="001C5F74" w:rsidRDefault="00266864" w:rsidP="00266864">
      <w:pPr>
        <w:spacing w:after="0" w:line="360" w:lineRule="auto"/>
        <w:jc w:val="both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color w:val="000000"/>
          <w:lang w:eastAsia="en-IN"/>
        </w:rPr>
        <w:t>It is a system that allows a firm or a bank to deduct a portion of the GST paid on input services or raw materials from future tax liabilities.</w:t>
      </w:r>
    </w:p>
    <w:p w14:paraId="7EEB6B0B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</w:p>
    <w:p w14:paraId="2876759D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color w:val="000099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color w:val="000099"/>
          <w:sz w:val="28"/>
          <w:szCs w:val="28"/>
          <w:lang w:eastAsia="en-IN"/>
        </w:rPr>
        <w:t>Reactions to the judgement</w:t>
      </w:r>
    </w:p>
    <w:p w14:paraId="638AE22C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tbl>
      <w:tblPr>
        <w:tblW w:w="959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2268"/>
        <w:gridCol w:w="5059"/>
      </w:tblGrid>
      <w:tr w:rsidR="00266864" w:rsidRPr="001C5F74" w14:paraId="0C1B340D" w14:textId="77777777" w:rsidTr="003264AB">
        <w:trPr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39F87" w14:textId="77777777" w:rsidR="00266864" w:rsidRPr="001C5F74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Name of the Person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BED50" w14:textId="77777777" w:rsidR="00266864" w:rsidRPr="001C5F74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Company/ Industry</w:t>
            </w:r>
          </w:p>
        </w:tc>
        <w:tc>
          <w:tcPr>
            <w:tcW w:w="5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BE5CA" w14:textId="77777777" w:rsidR="00266864" w:rsidRPr="001C5F74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sz w:val="24"/>
                <w:szCs w:val="24"/>
                <w:lang w:eastAsia="en-IN"/>
              </w:rPr>
              <w:t>Reaction</w:t>
            </w:r>
          </w:p>
        </w:tc>
      </w:tr>
      <w:tr w:rsidR="00266864" w:rsidRPr="001C5F74" w14:paraId="5E83E7B5" w14:textId="77777777" w:rsidTr="003264AB">
        <w:trPr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89D03" w14:textId="77777777" w:rsidR="00266864" w:rsidRPr="001C5F74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lang w:eastAsia="en-IN"/>
              </w:rPr>
              <w:t xml:space="preserve">Rakesh </w:t>
            </w:r>
            <w:proofErr w:type="spellStart"/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lang w:eastAsia="en-IN"/>
              </w:rPr>
              <w:t>Nangia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C233E" w14:textId="77777777" w:rsidR="00266864" w:rsidRPr="001C5F74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lang w:eastAsia="en-IN"/>
              </w:rPr>
              <w:t xml:space="preserve">Managing Partner of </w:t>
            </w:r>
            <w:proofErr w:type="spellStart"/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lang w:eastAsia="en-IN"/>
              </w:rPr>
              <w:t>Nangia</w:t>
            </w:r>
            <w:proofErr w:type="spellEnd"/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lang w:eastAsia="en-IN"/>
              </w:rPr>
              <w:t xml:space="preserve"> Andersen India</w:t>
            </w:r>
          </w:p>
        </w:tc>
        <w:tc>
          <w:tcPr>
            <w:tcW w:w="5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0C49F" w14:textId="77777777" w:rsidR="00266864" w:rsidRPr="001C5F74" w:rsidRDefault="00266864" w:rsidP="003264AB">
            <w:pPr>
              <w:spacing w:after="0"/>
              <w:jc w:val="both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color w:val="000000"/>
                <w:lang w:eastAsia="en-IN"/>
              </w:rPr>
              <w:t>The provision of employee canteen facilities and GST payment has been a topic of dispute across the sector, and numerous judgements have been pronounced in favour of and against the applicant in the stated subject</w:t>
            </w:r>
            <w:proofErr w:type="gramStart"/>
            <w:r w:rsidRPr="001C5F74">
              <w:rPr>
                <w:rFonts w:ascii="Old Standard" w:eastAsia="Times New Roman" w:hAnsi="Old Standard" w:cs="Calibri"/>
                <w:color w:val="000000"/>
                <w:lang w:eastAsia="en-IN"/>
              </w:rPr>
              <w:t>.  In light of</w:t>
            </w:r>
            <w:proofErr w:type="gramEnd"/>
            <w:r w:rsidRPr="001C5F74">
              <w:rPr>
                <w:rFonts w:ascii="Old Standard" w:eastAsia="Times New Roman" w:hAnsi="Old Standard" w:cs="Calibri"/>
                <w:color w:val="000000"/>
                <w:lang w:eastAsia="en-IN"/>
              </w:rPr>
              <w:t xml:space="preserve"> varying perspectives from various agencies, adequate explanation from the Central Board of Indirect Taxes and Customs may put this problem to rest and assist the industry to adopt a realistic and unambiguous perspective.</w:t>
            </w:r>
          </w:p>
        </w:tc>
      </w:tr>
      <w:tr w:rsidR="00266864" w:rsidRPr="001C5F74" w14:paraId="207B1B20" w14:textId="77777777" w:rsidTr="003264AB">
        <w:trPr>
          <w:jc w:val="center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5CF395" w14:textId="77777777" w:rsidR="00266864" w:rsidRPr="001C5F74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lang w:eastAsia="en-IN"/>
              </w:rPr>
              <w:lastRenderedPageBreak/>
              <w:t>Rajat Mohan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95306" w14:textId="77777777" w:rsidR="00266864" w:rsidRPr="001C5F74" w:rsidRDefault="00266864" w:rsidP="003264AB">
            <w:pPr>
              <w:spacing w:after="0"/>
              <w:jc w:val="center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b/>
                <w:bCs/>
                <w:color w:val="000000"/>
                <w:lang w:eastAsia="en-IN"/>
              </w:rPr>
              <w:t>Senior Partner, AMRG &amp; Associates</w:t>
            </w:r>
          </w:p>
        </w:tc>
        <w:tc>
          <w:tcPr>
            <w:tcW w:w="5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2FA5A" w14:textId="77777777" w:rsidR="00266864" w:rsidRPr="001C5F74" w:rsidRDefault="00266864" w:rsidP="003264AB">
            <w:pPr>
              <w:spacing w:after="0"/>
              <w:jc w:val="both"/>
              <w:rPr>
                <w:rFonts w:ascii="Old Standard" w:eastAsia="Times New Roman" w:hAnsi="Old Standard" w:cs="Times New Roman"/>
                <w:sz w:val="24"/>
                <w:szCs w:val="24"/>
                <w:lang w:eastAsia="en-IN"/>
              </w:rPr>
            </w:pPr>
            <w:r w:rsidRPr="001C5F74">
              <w:rPr>
                <w:rFonts w:ascii="Old Standard" w:eastAsia="Times New Roman" w:hAnsi="Old Standard" w:cs="Calibri"/>
                <w:color w:val="000000"/>
                <w:lang w:eastAsia="en-IN"/>
              </w:rPr>
              <w:t>Corporations that provide subsidised dining facilities charge a 5% tax on food recoveries made from employees. The authority has concluded that where the employer bears the canteen costs and just a little portion is charged to employees, no GST is due on the recoveries. This judgement is persuasive enough to persuade all corporate taxpayers to adopt a tax-efficient tax strategy.</w:t>
            </w:r>
          </w:p>
        </w:tc>
      </w:tr>
    </w:tbl>
    <w:p w14:paraId="2DCC5898" w14:textId="77777777" w:rsidR="00266864" w:rsidRPr="001C5F74" w:rsidRDefault="00266864" w:rsidP="00266864">
      <w:pPr>
        <w:spacing w:after="0"/>
        <w:rPr>
          <w:rFonts w:ascii="Old Standard" w:eastAsia="Times New Roman" w:hAnsi="Old Standard" w:cs="Times New Roman"/>
          <w:sz w:val="24"/>
          <w:szCs w:val="24"/>
          <w:lang w:eastAsia="en-IN"/>
        </w:rPr>
      </w:pPr>
    </w:p>
    <w:p w14:paraId="136F7B04" w14:textId="77777777" w:rsidR="00266864" w:rsidRPr="001C5F74" w:rsidRDefault="00266864" w:rsidP="00266864">
      <w:pPr>
        <w:spacing w:after="0"/>
        <w:jc w:val="center"/>
        <w:rPr>
          <w:rFonts w:ascii="Old Standard" w:eastAsia="Times New Roman" w:hAnsi="Old Standard" w:cs="Times New Roman"/>
          <w:sz w:val="24"/>
          <w:szCs w:val="24"/>
          <w:lang w:eastAsia="en-IN"/>
        </w:rPr>
      </w:pPr>
      <w:r w:rsidRPr="001C5F74">
        <w:rPr>
          <w:rFonts w:ascii="Old Standard" w:eastAsia="Times New Roman" w:hAnsi="Old Standard" w:cs="Calibri"/>
          <w:b/>
          <w:bCs/>
          <w:noProof/>
          <w:color w:val="98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6CEF9FB" wp14:editId="3D58EE7F">
            <wp:extent cx="4581525" cy="2619375"/>
            <wp:effectExtent l="0" t="0" r="9525" b="9525"/>
            <wp:docPr id="1" name="Picture 1" descr="https://lh6.googleusercontent.com/oUN9EmslSSSdQ2To2QagqYwB8AzLncGLinLCM7P8MbHi2Se-q7cJk6ehtouSAoGB4qrRQcHQhJf0O-N7lbNHzUy1rDuWhIY2I32yuuDsh-P6v1BEeUDVTSneus5wAB1W8h7x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UN9EmslSSSdQ2To2QagqYwB8AzLncGLinLCM7P8MbHi2Se-q7cJk6ehtouSAoGB4qrRQcHQhJf0O-N7lbNHzUy1rDuWhIY2I32yuuDsh-P6v1BEeUDVTSneus5wAB1W8h7xi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271" cy="26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F457" w14:textId="77777777" w:rsidR="00266864" w:rsidRPr="001C5F74" w:rsidRDefault="00266864" w:rsidP="005319CA">
      <w:pPr>
        <w:spacing w:line="360" w:lineRule="auto"/>
        <w:jc w:val="both"/>
        <w:rPr>
          <w:rFonts w:ascii="Old Standard" w:hAnsi="Old Standard"/>
        </w:rPr>
      </w:pPr>
    </w:p>
    <w:sectPr w:rsidR="00266864" w:rsidRPr="001C5F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2C739" w14:textId="77777777" w:rsidR="00593F3C" w:rsidRDefault="00593F3C" w:rsidP="000670A7">
      <w:pPr>
        <w:spacing w:after="0" w:line="240" w:lineRule="auto"/>
      </w:pPr>
      <w:r>
        <w:separator/>
      </w:r>
    </w:p>
  </w:endnote>
  <w:endnote w:type="continuationSeparator" w:id="0">
    <w:p w14:paraId="28617746" w14:textId="77777777" w:rsidR="00593F3C" w:rsidRDefault="00593F3C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B7023" w14:textId="77777777" w:rsidR="00593F3C" w:rsidRDefault="00593F3C" w:rsidP="000670A7">
      <w:pPr>
        <w:spacing w:after="0" w:line="240" w:lineRule="auto"/>
      </w:pPr>
      <w:r>
        <w:separator/>
      </w:r>
    </w:p>
  </w:footnote>
  <w:footnote w:type="continuationSeparator" w:id="0">
    <w:p w14:paraId="4B6D2E01" w14:textId="77777777" w:rsidR="00593F3C" w:rsidRDefault="00593F3C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78CA"/>
    <w:multiLevelType w:val="hybridMultilevel"/>
    <w:tmpl w:val="7FDA2AC4"/>
    <w:lvl w:ilvl="0" w:tplc="B096E4A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53F5C"/>
    <w:multiLevelType w:val="hybridMultilevel"/>
    <w:tmpl w:val="FE5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2EEC"/>
    <w:multiLevelType w:val="hybridMultilevel"/>
    <w:tmpl w:val="A1D2A752"/>
    <w:lvl w:ilvl="0" w:tplc="6A12C7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A11334"/>
    <w:multiLevelType w:val="hybridMultilevel"/>
    <w:tmpl w:val="E82C81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85C45"/>
    <w:multiLevelType w:val="hybridMultilevel"/>
    <w:tmpl w:val="63A29364"/>
    <w:lvl w:ilvl="0" w:tplc="F5267A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D5F9B"/>
    <w:multiLevelType w:val="hybridMultilevel"/>
    <w:tmpl w:val="8F0C2CFA"/>
    <w:lvl w:ilvl="0" w:tplc="6A12C7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289E"/>
    <w:multiLevelType w:val="multilevel"/>
    <w:tmpl w:val="BAC0D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5548E"/>
    <w:multiLevelType w:val="hybridMultilevel"/>
    <w:tmpl w:val="1D3027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537A3"/>
    <w:multiLevelType w:val="hybridMultilevel"/>
    <w:tmpl w:val="3FAC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305CF3"/>
    <w:multiLevelType w:val="hybridMultilevel"/>
    <w:tmpl w:val="4DF4E1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B30D8"/>
    <w:multiLevelType w:val="hybridMultilevel"/>
    <w:tmpl w:val="00424D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55FBE"/>
    <w:multiLevelType w:val="hybridMultilevel"/>
    <w:tmpl w:val="ACCA2B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43619"/>
    <w:multiLevelType w:val="hybridMultilevel"/>
    <w:tmpl w:val="35DA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0113D"/>
    <w:multiLevelType w:val="hybridMultilevel"/>
    <w:tmpl w:val="027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D4368"/>
    <w:multiLevelType w:val="hybridMultilevel"/>
    <w:tmpl w:val="73A286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230EB"/>
    <w:multiLevelType w:val="hybridMultilevel"/>
    <w:tmpl w:val="A74CB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F2BFE"/>
    <w:multiLevelType w:val="hybridMultilevel"/>
    <w:tmpl w:val="E54C51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55601"/>
    <w:multiLevelType w:val="hybridMultilevel"/>
    <w:tmpl w:val="16A6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70A25"/>
    <w:multiLevelType w:val="hybridMultilevel"/>
    <w:tmpl w:val="C7662B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27797"/>
    <w:multiLevelType w:val="hybridMultilevel"/>
    <w:tmpl w:val="78480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3763C"/>
    <w:multiLevelType w:val="hybridMultilevel"/>
    <w:tmpl w:val="4A94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85791"/>
    <w:multiLevelType w:val="hybridMultilevel"/>
    <w:tmpl w:val="BDC492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E78E7"/>
    <w:multiLevelType w:val="hybridMultilevel"/>
    <w:tmpl w:val="20F4A8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0760B"/>
    <w:multiLevelType w:val="hybridMultilevel"/>
    <w:tmpl w:val="99A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D7D62"/>
    <w:multiLevelType w:val="hybridMultilevel"/>
    <w:tmpl w:val="CA82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87F9E"/>
    <w:multiLevelType w:val="hybridMultilevel"/>
    <w:tmpl w:val="5F56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E3A02"/>
    <w:multiLevelType w:val="hybridMultilevel"/>
    <w:tmpl w:val="6B40F1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819F8"/>
    <w:multiLevelType w:val="hybridMultilevel"/>
    <w:tmpl w:val="0E28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6"/>
  </w:num>
  <w:num w:numId="4">
    <w:abstractNumId w:val="32"/>
  </w:num>
  <w:num w:numId="5">
    <w:abstractNumId w:val="15"/>
  </w:num>
  <w:num w:numId="6">
    <w:abstractNumId w:val="19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23"/>
  </w:num>
  <w:num w:numId="12">
    <w:abstractNumId w:val="35"/>
  </w:num>
  <w:num w:numId="13">
    <w:abstractNumId w:val="26"/>
  </w:num>
  <w:num w:numId="14">
    <w:abstractNumId w:val="38"/>
  </w:num>
  <w:num w:numId="15">
    <w:abstractNumId w:val="2"/>
  </w:num>
  <w:num w:numId="16">
    <w:abstractNumId w:val="14"/>
  </w:num>
  <w:num w:numId="17">
    <w:abstractNumId w:val="34"/>
  </w:num>
  <w:num w:numId="18">
    <w:abstractNumId w:val="29"/>
  </w:num>
  <w:num w:numId="19">
    <w:abstractNumId w:val="21"/>
  </w:num>
  <w:num w:numId="20">
    <w:abstractNumId w:val="27"/>
  </w:num>
  <w:num w:numId="21">
    <w:abstractNumId w:val="22"/>
  </w:num>
  <w:num w:numId="22">
    <w:abstractNumId w:val="33"/>
  </w:num>
  <w:num w:numId="23">
    <w:abstractNumId w:val="24"/>
  </w:num>
  <w:num w:numId="24">
    <w:abstractNumId w:val="28"/>
  </w:num>
  <w:num w:numId="25">
    <w:abstractNumId w:val="30"/>
  </w:num>
  <w:num w:numId="26">
    <w:abstractNumId w:val="25"/>
  </w:num>
  <w:num w:numId="27">
    <w:abstractNumId w:val="1"/>
  </w:num>
  <w:num w:numId="28">
    <w:abstractNumId w:val="16"/>
  </w:num>
  <w:num w:numId="29">
    <w:abstractNumId w:val="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8"/>
  </w:num>
  <w:num w:numId="34">
    <w:abstractNumId w:val="17"/>
  </w:num>
  <w:num w:numId="35">
    <w:abstractNumId w:val="13"/>
  </w:num>
  <w:num w:numId="36">
    <w:abstractNumId w:val="37"/>
  </w:num>
  <w:num w:numId="37">
    <w:abstractNumId w:val="31"/>
  </w:num>
  <w:num w:numId="38">
    <w:abstractNumId w:val="20"/>
  </w:num>
  <w:num w:numId="39">
    <w:abstractNumId w:val="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670A7"/>
    <w:rsid w:val="00075E81"/>
    <w:rsid w:val="000A4C0E"/>
    <w:rsid w:val="000B4B48"/>
    <w:rsid w:val="000C0D29"/>
    <w:rsid w:val="000D4F88"/>
    <w:rsid w:val="0017079F"/>
    <w:rsid w:val="001A3EE1"/>
    <w:rsid w:val="001B365B"/>
    <w:rsid w:val="001B6078"/>
    <w:rsid w:val="001C5F74"/>
    <w:rsid w:val="00232257"/>
    <w:rsid w:val="00233940"/>
    <w:rsid w:val="002621AD"/>
    <w:rsid w:val="00266864"/>
    <w:rsid w:val="002C69E0"/>
    <w:rsid w:val="002E5682"/>
    <w:rsid w:val="003137E6"/>
    <w:rsid w:val="00323879"/>
    <w:rsid w:val="00337F12"/>
    <w:rsid w:val="0034556D"/>
    <w:rsid w:val="003B057C"/>
    <w:rsid w:val="003F6A7A"/>
    <w:rsid w:val="00407C76"/>
    <w:rsid w:val="004428CF"/>
    <w:rsid w:val="00445420"/>
    <w:rsid w:val="00453CE2"/>
    <w:rsid w:val="0048190F"/>
    <w:rsid w:val="004B020A"/>
    <w:rsid w:val="004F2254"/>
    <w:rsid w:val="00525A7D"/>
    <w:rsid w:val="005319CA"/>
    <w:rsid w:val="00552912"/>
    <w:rsid w:val="00593F3C"/>
    <w:rsid w:val="005B5CBC"/>
    <w:rsid w:val="005E133C"/>
    <w:rsid w:val="00603C04"/>
    <w:rsid w:val="00613B1D"/>
    <w:rsid w:val="00631224"/>
    <w:rsid w:val="00641BE5"/>
    <w:rsid w:val="006A1E05"/>
    <w:rsid w:val="006B4AE5"/>
    <w:rsid w:val="006C084D"/>
    <w:rsid w:val="007072AC"/>
    <w:rsid w:val="00732374"/>
    <w:rsid w:val="00756FCC"/>
    <w:rsid w:val="007967FF"/>
    <w:rsid w:val="007E0C54"/>
    <w:rsid w:val="008108E4"/>
    <w:rsid w:val="00817537"/>
    <w:rsid w:val="00825F71"/>
    <w:rsid w:val="00832811"/>
    <w:rsid w:val="008353A1"/>
    <w:rsid w:val="00852890"/>
    <w:rsid w:val="008D2352"/>
    <w:rsid w:val="008E3D2C"/>
    <w:rsid w:val="009208D5"/>
    <w:rsid w:val="00986301"/>
    <w:rsid w:val="0099326C"/>
    <w:rsid w:val="009A11A1"/>
    <w:rsid w:val="009B512C"/>
    <w:rsid w:val="009C2A5F"/>
    <w:rsid w:val="00A734F2"/>
    <w:rsid w:val="00AC6A16"/>
    <w:rsid w:val="00AC6CEA"/>
    <w:rsid w:val="00AD7C35"/>
    <w:rsid w:val="00B650D1"/>
    <w:rsid w:val="00BE1964"/>
    <w:rsid w:val="00C13996"/>
    <w:rsid w:val="00C27440"/>
    <w:rsid w:val="00C361F6"/>
    <w:rsid w:val="00C51C4A"/>
    <w:rsid w:val="00C627CF"/>
    <w:rsid w:val="00C65956"/>
    <w:rsid w:val="00C9738C"/>
    <w:rsid w:val="00D30911"/>
    <w:rsid w:val="00D37DB6"/>
    <w:rsid w:val="00D44023"/>
    <w:rsid w:val="00DE473D"/>
    <w:rsid w:val="00E511E2"/>
    <w:rsid w:val="00EB33D8"/>
    <w:rsid w:val="00EB6051"/>
    <w:rsid w:val="00EC2708"/>
    <w:rsid w:val="00ED1217"/>
    <w:rsid w:val="00EE267B"/>
    <w:rsid w:val="00F16F23"/>
    <w:rsid w:val="00F9010E"/>
    <w:rsid w:val="00FC13C6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6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4</cp:revision>
  <dcterms:created xsi:type="dcterms:W3CDTF">2021-11-08T10:42:00Z</dcterms:created>
  <dcterms:modified xsi:type="dcterms:W3CDTF">2021-11-08T10:43:00Z</dcterms:modified>
</cp:coreProperties>
</file>