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7610C" w14:textId="42CF3DEA" w:rsidR="0034556D" w:rsidRPr="005F6804" w:rsidRDefault="00DD1509" w:rsidP="00D44023">
      <w:pPr>
        <w:jc w:val="center"/>
        <w:rPr>
          <w:rFonts w:ascii="Old Standard" w:hAnsi="Old Standard"/>
          <w:b/>
          <w:bCs/>
          <w:color w:val="44546A" w:themeColor="text2"/>
          <w:sz w:val="32"/>
          <w:szCs w:val="32"/>
        </w:rPr>
      </w:pPr>
      <w:r w:rsidRPr="00DD1509">
        <w:rPr>
          <w:rFonts w:ascii="Old Standard" w:hAnsi="Old Standard"/>
          <w:b/>
          <w:bCs/>
          <w:color w:val="44546A" w:themeColor="text2"/>
          <w:sz w:val="32"/>
          <w:szCs w:val="32"/>
        </w:rPr>
        <w:t>Global Hunger Index – Key takeaways for India</w:t>
      </w:r>
    </w:p>
    <w:p w14:paraId="19794832" w14:textId="174D4D11" w:rsidR="00D44023" w:rsidRPr="005F6804" w:rsidRDefault="00D44023" w:rsidP="00D44023">
      <w:pPr>
        <w:jc w:val="center"/>
        <w:rPr>
          <w:rFonts w:ascii="Old Standard" w:hAnsi="Old Standard"/>
          <w:b/>
          <w:bCs/>
          <w:color w:val="FF0000"/>
          <w:sz w:val="32"/>
          <w:szCs w:val="32"/>
        </w:rPr>
      </w:pPr>
      <w:r w:rsidRPr="005F6804">
        <w:rPr>
          <w:rFonts w:ascii="Old Standard" w:hAnsi="Old Standard"/>
          <w:b/>
          <w:bCs/>
          <w:color w:val="FF0000"/>
          <w:sz w:val="32"/>
          <w:szCs w:val="32"/>
        </w:rPr>
        <w:t xml:space="preserve">Relevant </w:t>
      </w:r>
      <w:r w:rsidR="0034556D" w:rsidRPr="005F6804">
        <w:rPr>
          <w:rFonts w:ascii="Old Standard" w:hAnsi="Old Standard"/>
          <w:b/>
          <w:bCs/>
          <w:color w:val="FF0000"/>
          <w:sz w:val="32"/>
          <w:szCs w:val="32"/>
        </w:rPr>
        <w:t>to</w:t>
      </w:r>
      <w:r w:rsidR="00FC4BFC" w:rsidRPr="005F6804">
        <w:rPr>
          <w:rFonts w:ascii="Old Standard" w:hAnsi="Old Standard"/>
          <w:b/>
          <w:bCs/>
          <w:color w:val="FF0000"/>
          <w:sz w:val="32"/>
          <w:szCs w:val="32"/>
        </w:rPr>
        <w:t xml:space="preserve"> </w:t>
      </w:r>
      <w:r w:rsidR="000D4F88" w:rsidRPr="005F6804">
        <w:rPr>
          <w:rFonts w:ascii="Old Standard" w:hAnsi="Old Standard"/>
          <w:b/>
          <w:bCs/>
          <w:color w:val="FF0000"/>
          <w:sz w:val="32"/>
          <w:szCs w:val="32"/>
        </w:rPr>
        <w:t xml:space="preserve">CSR Team </w:t>
      </w:r>
    </w:p>
    <w:p w14:paraId="0AB24AF1" w14:textId="4477551D" w:rsidR="005E133C" w:rsidRPr="005F6804" w:rsidRDefault="00631224" w:rsidP="00631224">
      <w:pPr>
        <w:jc w:val="center"/>
        <w:rPr>
          <w:rFonts w:ascii="Old Standard" w:hAnsi="Old Standard"/>
          <w:b/>
          <w:bCs/>
          <w:sz w:val="32"/>
          <w:szCs w:val="32"/>
        </w:rPr>
      </w:pPr>
      <w:r w:rsidRPr="005F6804">
        <w:rPr>
          <w:rFonts w:ascii="Old Standard" w:hAnsi="Old Standard"/>
          <w:b/>
          <w:bCs/>
          <w:sz w:val="32"/>
          <w:szCs w:val="32"/>
        </w:rPr>
        <w:t>1</w:t>
      </w:r>
      <w:r w:rsidR="00756FCC" w:rsidRPr="005F6804">
        <w:rPr>
          <w:rFonts w:ascii="Old Standard" w:hAnsi="Old Standard"/>
          <w:b/>
          <w:bCs/>
          <w:sz w:val="32"/>
          <w:szCs w:val="32"/>
        </w:rPr>
        <w:t>8</w:t>
      </w:r>
      <w:r w:rsidRPr="005F6804">
        <w:rPr>
          <w:rFonts w:ascii="Old Standard" w:hAnsi="Old Standard"/>
          <w:b/>
          <w:bCs/>
          <w:sz w:val="32"/>
          <w:szCs w:val="32"/>
          <w:vertAlign w:val="superscript"/>
        </w:rPr>
        <w:t>th</w:t>
      </w:r>
      <w:r w:rsidRPr="005F6804">
        <w:rPr>
          <w:rFonts w:ascii="Old Standard" w:hAnsi="Old Standard"/>
          <w:b/>
          <w:bCs/>
          <w:sz w:val="32"/>
          <w:szCs w:val="32"/>
        </w:rPr>
        <w:t xml:space="preserve"> </w:t>
      </w:r>
      <w:r w:rsidR="0034556D" w:rsidRPr="005F6804">
        <w:rPr>
          <w:rFonts w:ascii="Old Standard" w:hAnsi="Old Standard"/>
          <w:b/>
          <w:bCs/>
          <w:sz w:val="32"/>
          <w:szCs w:val="32"/>
        </w:rPr>
        <w:t>October</w:t>
      </w:r>
      <w:r w:rsidR="005E133C" w:rsidRPr="005F6804">
        <w:rPr>
          <w:rFonts w:ascii="Old Standard" w:hAnsi="Old Standard"/>
          <w:b/>
          <w:bCs/>
          <w:sz w:val="32"/>
          <w:szCs w:val="32"/>
        </w:rPr>
        <w:t xml:space="preserve"> 2021</w:t>
      </w:r>
    </w:p>
    <w:p w14:paraId="0C722B31" w14:textId="7FE7D83A" w:rsidR="00631224" w:rsidRPr="005222CF" w:rsidRDefault="00631224" w:rsidP="00631224">
      <w:pPr>
        <w:rPr>
          <w:rFonts w:ascii="Old Standard" w:hAnsi="Old Standard"/>
          <w:b/>
          <w:bCs/>
          <w:color w:val="C00000"/>
          <w:sz w:val="28"/>
          <w:szCs w:val="28"/>
        </w:rPr>
      </w:pPr>
      <w:r w:rsidRPr="005222CF">
        <w:rPr>
          <w:rFonts w:ascii="Old Standard" w:hAnsi="Old Standard"/>
          <w:b/>
          <w:bCs/>
          <w:color w:val="C00000"/>
          <w:sz w:val="28"/>
          <w:szCs w:val="28"/>
        </w:rPr>
        <w:t>Introduction</w:t>
      </w:r>
    </w:p>
    <w:p w14:paraId="1178AE7E" w14:textId="66973143" w:rsidR="00756FCC" w:rsidRPr="00764346" w:rsidRDefault="003F6A7A" w:rsidP="003F6A7A">
      <w:pPr>
        <w:spacing w:line="360" w:lineRule="auto"/>
        <w:jc w:val="both"/>
        <w:rPr>
          <w:rFonts w:ascii="Old Standard" w:hAnsi="Old Standard"/>
          <w:sz w:val="24"/>
          <w:szCs w:val="24"/>
        </w:rPr>
      </w:pPr>
      <w:r w:rsidRPr="00764346">
        <w:rPr>
          <w:rFonts w:ascii="Old Standard" w:hAnsi="Old Standard"/>
          <w:sz w:val="24"/>
          <w:szCs w:val="24"/>
        </w:rPr>
        <w:t xml:space="preserve">India plummeted to 101st place out of 116 countries in the Global Hunger Index (GHI) 2021, falling from 94th place in 2020. According to the Global Hunger Index assessment, India's hunger level is "serious," which is an improvement over its performance in 2000, when hunger levels were "alarming." </w:t>
      </w:r>
      <w:r w:rsidR="00756FCC" w:rsidRPr="00764346">
        <w:rPr>
          <w:rFonts w:ascii="Old Standard" w:hAnsi="Old Standard"/>
          <w:sz w:val="24"/>
          <w:szCs w:val="24"/>
        </w:rPr>
        <w:t xml:space="preserve">India has slipped to 101st position in the Global Hunger Index (GHI) 2021 of 116 countries, from its 2020 position of 94th. </w:t>
      </w:r>
      <w:r w:rsidRPr="00764346">
        <w:rPr>
          <w:rFonts w:ascii="Old Standard" w:hAnsi="Old Standard"/>
          <w:sz w:val="24"/>
          <w:szCs w:val="24"/>
        </w:rPr>
        <w:t>According to the report, India's performance has dropped only because of malnutrition, which the government has addressed.</w:t>
      </w:r>
    </w:p>
    <w:p w14:paraId="5149D12C" w14:textId="77777777" w:rsidR="003F6A7A" w:rsidRPr="005222CF" w:rsidRDefault="003F6A7A" w:rsidP="003F6A7A">
      <w:pPr>
        <w:spacing w:line="360" w:lineRule="auto"/>
        <w:jc w:val="both"/>
        <w:rPr>
          <w:rFonts w:ascii="Old Standard" w:hAnsi="Old Standard"/>
        </w:rPr>
      </w:pPr>
    </w:p>
    <w:p w14:paraId="48EF7BE5" w14:textId="1B3EC627" w:rsidR="00756FCC" w:rsidRPr="005222CF" w:rsidRDefault="00756FCC" w:rsidP="0034556D">
      <w:pPr>
        <w:rPr>
          <w:rFonts w:ascii="Old Standard" w:hAnsi="Old Standard"/>
        </w:rPr>
      </w:pPr>
      <w:r w:rsidRPr="005222CF">
        <w:rPr>
          <w:rFonts w:ascii="Old Standard" w:hAnsi="Old Standard" w:cstheme="minorHAnsi"/>
          <w:noProof/>
        </w:rPr>
        <w:drawing>
          <wp:inline distT="0" distB="0" distL="0" distR="0" wp14:anchorId="52448256" wp14:editId="5CFBBF96">
            <wp:extent cx="5980871" cy="3000375"/>
            <wp:effectExtent l="0" t="0" r="1270" b="0"/>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3425" cy="3046806"/>
                    </a:xfrm>
                    <a:prstGeom prst="rect">
                      <a:avLst/>
                    </a:prstGeom>
                    <a:noFill/>
                    <a:ln>
                      <a:noFill/>
                    </a:ln>
                  </pic:spPr>
                </pic:pic>
              </a:graphicData>
            </a:graphic>
          </wp:inline>
        </w:drawing>
      </w:r>
    </w:p>
    <w:p w14:paraId="526656B5" w14:textId="70BB4A86" w:rsidR="00756FCC" w:rsidRDefault="00756FCC" w:rsidP="0034556D">
      <w:pPr>
        <w:rPr>
          <w:rFonts w:ascii="Old Standard" w:hAnsi="Old Standard"/>
        </w:rPr>
      </w:pPr>
    </w:p>
    <w:p w14:paraId="5C26EC17" w14:textId="5C3C2078" w:rsidR="00764346" w:rsidRDefault="00764346" w:rsidP="0034556D">
      <w:pPr>
        <w:rPr>
          <w:rFonts w:ascii="Old Standard" w:hAnsi="Old Standard"/>
        </w:rPr>
      </w:pPr>
    </w:p>
    <w:p w14:paraId="09B68DF0" w14:textId="77777777" w:rsidR="00764346" w:rsidRPr="005222CF" w:rsidRDefault="00764346" w:rsidP="0034556D">
      <w:pPr>
        <w:rPr>
          <w:rFonts w:ascii="Old Standard" w:hAnsi="Old Standard"/>
        </w:rPr>
      </w:pPr>
    </w:p>
    <w:p w14:paraId="4967ABDF" w14:textId="119BFE9A" w:rsidR="00756FCC" w:rsidRPr="005222CF" w:rsidRDefault="00756FCC" w:rsidP="0034556D">
      <w:pPr>
        <w:rPr>
          <w:rFonts w:ascii="Old Standard" w:hAnsi="Old Standard"/>
          <w:b/>
          <w:bCs/>
          <w:color w:val="C00000"/>
          <w:sz w:val="28"/>
          <w:szCs w:val="28"/>
        </w:rPr>
      </w:pPr>
      <w:r w:rsidRPr="005222CF">
        <w:rPr>
          <w:rFonts w:ascii="Old Standard" w:hAnsi="Old Standard"/>
          <w:b/>
          <w:bCs/>
          <w:color w:val="C00000"/>
          <w:sz w:val="28"/>
          <w:szCs w:val="28"/>
        </w:rPr>
        <w:t xml:space="preserve">About the Global Hunger Index </w:t>
      </w:r>
    </w:p>
    <w:p w14:paraId="62BA1B76" w14:textId="77777777" w:rsidR="00756FCC" w:rsidRPr="00764346" w:rsidRDefault="00756FCC" w:rsidP="003F6A7A">
      <w:pPr>
        <w:pStyle w:val="ListParagraph"/>
        <w:numPr>
          <w:ilvl w:val="0"/>
          <w:numId w:val="25"/>
        </w:numPr>
        <w:spacing w:after="150" w:line="360" w:lineRule="auto"/>
        <w:ind w:right="30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lastRenderedPageBreak/>
        <w:t>Annual Report:</w:t>
      </w:r>
      <w:r w:rsidRPr="00764346">
        <w:rPr>
          <w:rFonts w:ascii="Old Standard" w:hAnsi="Old Standard" w:cs="Old Standard"/>
          <w:color w:val="000099"/>
          <w:sz w:val="24"/>
          <w:szCs w:val="24"/>
        </w:rPr>
        <w:t> </w:t>
      </w:r>
      <w:r w:rsidRPr="00764346">
        <w:rPr>
          <w:rFonts w:ascii="Old Standard" w:hAnsi="Old Standard" w:cs="Old Standard"/>
          <w:sz w:val="24"/>
          <w:szCs w:val="24"/>
        </w:rPr>
        <w:t>Jointly </w:t>
      </w:r>
      <w:r w:rsidRPr="00764346">
        <w:rPr>
          <w:rStyle w:val="Strong"/>
          <w:rFonts w:ascii="Old Standard" w:hAnsi="Old Standard" w:cs="Old Standard"/>
          <w:sz w:val="24"/>
          <w:szCs w:val="24"/>
        </w:rPr>
        <w:t>published by Concern Worldwide and Welthungerhilfe.</w:t>
      </w:r>
      <w:r w:rsidRPr="00764346">
        <w:rPr>
          <w:rFonts w:ascii="Old Standard" w:hAnsi="Old Standard" w:cs="Old Standard"/>
          <w:sz w:val="24"/>
          <w:szCs w:val="24"/>
        </w:rPr>
        <w:t xml:space="preserve"> It was first produced in 2006. It is published every October. The 2021 edition marks the 16</w:t>
      </w:r>
      <w:r w:rsidRPr="00764346">
        <w:rPr>
          <w:rFonts w:ascii="Old Standard" w:hAnsi="Old Standard" w:cs="Old Standard"/>
          <w:sz w:val="24"/>
          <w:szCs w:val="24"/>
          <w:vertAlign w:val="superscript"/>
        </w:rPr>
        <w:t>th</w:t>
      </w:r>
      <w:r w:rsidRPr="00764346">
        <w:rPr>
          <w:rFonts w:ascii="Old Standard" w:hAnsi="Old Standard" w:cs="Old Standard"/>
          <w:sz w:val="24"/>
          <w:szCs w:val="24"/>
        </w:rPr>
        <w:t> edition of the GHI.</w:t>
      </w:r>
    </w:p>
    <w:p w14:paraId="18BC6772" w14:textId="77777777" w:rsidR="00756FCC" w:rsidRPr="00764346" w:rsidRDefault="00756FCC" w:rsidP="003F6A7A">
      <w:pPr>
        <w:pStyle w:val="ListParagraph"/>
        <w:numPr>
          <w:ilvl w:val="0"/>
          <w:numId w:val="25"/>
        </w:numPr>
        <w:spacing w:after="150" w:line="360" w:lineRule="auto"/>
        <w:ind w:right="30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Aim</w:t>
      </w:r>
      <w:r w:rsidRPr="00764346">
        <w:rPr>
          <w:rFonts w:ascii="Old Standard" w:hAnsi="Old Standard" w:cs="Old Standard"/>
          <w:color w:val="000099"/>
          <w:sz w:val="24"/>
          <w:szCs w:val="24"/>
        </w:rPr>
        <w:t xml:space="preserve">: </w:t>
      </w:r>
      <w:r w:rsidRPr="00764346">
        <w:rPr>
          <w:rFonts w:ascii="Old Standard" w:hAnsi="Old Standard" w:cs="Old Standard"/>
          <w:sz w:val="24"/>
          <w:szCs w:val="24"/>
        </w:rPr>
        <w:t>To comprehensively measure and track hunger at the global, regional, and country levels.</w:t>
      </w:r>
    </w:p>
    <w:p w14:paraId="0ED93145" w14:textId="77777777" w:rsidR="00756FCC" w:rsidRPr="00764346" w:rsidRDefault="00756FCC" w:rsidP="003F6A7A">
      <w:pPr>
        <w:pStyle w:val="ListParagraph"/>
        <w:numPr>
          <w:ilvl w:val="0"/>
          <w:numId w:val="25"/>
        </w:numPr>
        <w:spacing w:after="150" w:line="360" w:lineRule="auto"/>
        <w:ind w:right="30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Calculation</w:t>
      </w:r>
      <w:r w:rsidRPr="00764346">
        <w:rPr>
          <w:rFonts w:ascii="Old Standard" w:hAnsi="Old Standard" w:cs="Old Standard"/>
          <w:color w:val="000099"/>
          <w:sz w:val="24"/>
          <w:szCs w:val="24"/>
        </w:rPr>
        <w:t xml:space="preserve">: </w:t>
      </w:r>
      <w:r w:rsidRPr="00764346">
        <w:rPr>
          <w:rFonts w:ascii="Old Standard" w:hAnsi="Old Standard" w:cs="Old Standard"/>
          <w:sz w:val="24"/>
          <w:szCs w:val="24"/>
        </w:rPr>
        <w:t xml:space="preserve">It is calculated </w:t>
      </w:r>
      <w:proofErr w:type="gramStart"/>
      <w:r w:rsidRPr="00764346">
        <w:rPr>
          <w:rFonts w:ascii="Old Standard" w:hAnsi="Old Standard" w:cs="Old Standard"/>
          <w:sz w:val="24"/>
          <w:szCs w:val="24"/>
        </w:rPr>
        <w:t>on the basis of</w:t>
      </w:r>
      <w:proofErr w:type="gramEnd"/>
      <w:r w:rsidRPr="00764346">
        <w:rPr>
          <w:rFonts w:ascii="Old Standard" w:hAnsi="Old Standard" w:cs="Old Standard"/>
          <w:sz w:val="24"/>
          <w:szCs w:val="24"/>
        </w:rPr>
        <w:t xml:space="preserve"> four indicators:</w:t>
      </w:r>
      <w:r w:rsidRPr="00764346">
        <w:rPr>
          <w:rFonts w:ascii="Old Standard" w:hAnsi="Old Standard" w:cs="Old Standard"/>
          <w:sz w:val="24"/>
          <w:szCs w:val="24"/>
        </w:rPr>
        <w:br/>
      </w:r>
    </w:p>
    <w:p w14:paraId="3D43E807" w14:textId="77777777" w:rsidR="00756FCC" w:rsidRPr="00764346" w:rsidRDefault="00756FCC" w:rsidP="003F6A7A">
      <w:pPr>
        <w:pStyle w:val="ListParagraph"/>
        <w:numPr>
          <w:ilvl w:val="0"/>
          <w:numId w:val="21"/>
        </w:numPr>
        <w:spacing w:after="150" w:line="360" w:lineRule="auto"/>
        <w:ind w:right="45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Undernourishment</w:t>
      </w:r>
      <w:r w:rsidRPr="00764346">
        <w:rPr>
          <w:rFonts w:ascii="Old Standard" w:hAnsi="Old Standard" w:cs="Old Standard"/>
          <w:color w:val="000099"/>
          <w:sz w:val="24"/>
          <w:szCs w:val="24"/>
        </w:rPr>
        <w:t xml:space="preserve">: </w:t>
      </w:r>
      <w:r w:rsidRPr="00764346">
        <w:rPr>
          <w:rFonts w:ascii="Old Standard" w:hAnsi="Old Standard" w:cs="Old Standard"/>
          <w:sz w:val="24"/>
          <w:szCs w:val="24"/>
        </w:rPr>
        <w:t>Share of the population with insufficient caloric intake.</w:t>
      </w:r>
    </w:p>
    <w:p w14:paraId="712924B7" w14:textId="77777777" w:rsidR="00756FCC" w:rsidRPr="00764346" w:rsidRDefault="00756FCC" w:rsidP="003F6A7A">
      <w:pPr>
        <w:pStyle w:val="ListParagraph"/>
        <w:numPr>
          <w:ilvl w:val="0"/>
          <w:numId w:val="21"/>
        </w:numPr>
        <w:spacing w:after="150" w:line="360" w:lineRule="auto"/>
        <w:ind w:right="45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Child Wasting</w:t>
      </w:r>
      <w:r w:rsidRPr="00764346">
        <w:rPr>
          <w:rFonts w:ascii="Old Standard" w:hAnsi="Old Standard" w:cs="Old Standard"/>
          <w:color w:val="000099"/>
          <w:sz w:val="24"/>
          <w:szCs w:val="24"/>
        </w:rPr>
        <w:t xml:space="preserve">: </w:t>
      </w:r>
      <w:r w:rsidRPr="00764346">
        <w:rPr>
          <w:rFonts w:ascii="Old Standard" w:hAnsi="Old Standard" w:cs="Old Standard"/>
          <w:sz w:val="24"/>
          <w:szCs w:val="24"/>
        </w:rPr>
        <w:t>Share of children under age five who have low weight for their height, reflecting acute undernutrition.</w:t>
      </w:r>
    </w:p>
    <w:p w14:paraId="527267F5" w14:textId="77777777" w:rsidR="00756FCC" w:rsidRPr="00764346" w:rsidRDefault="00756FCC" w:rsidP="003F6A7A">
      <w:pPr>
        <w:pStyle w:val="ListParagraph"/>
        <w:numPr>
          <w:ilvl w:val="0"/>
          <w:numId w:val="21"/>
        </w:numPr>
        <w:spacing w:after="150" w:line="360" w:lineRule="auto"/>
        <w:ind w:right="45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Child Stunting:</w:t>
      </w:r>
      <w:r w:rsidRPr="00764346">
        <w:rPr>
          <w:rFonts w:ascii="Old Standard" w:hAnsi="Old Standard" w:cs="Old Standard"/>
          <w:color w:val="000099"/>
          <w:sz w:val="24"/>
          <w:szCs w:val="24"/>
        </w:rPr>
        <w:t> </w:t>
      </w:r>
      <w:r w:rsidRPr="00764346">
        <w:rPr>
          <w:rFonts w:ascii="Old Standard" w:hAnsi="Old Standard" w:cs="Old Standard"/>
          <w:sz w:val="24"/>
          <w:szCs w:val="24"/>
        </w:rPr>
        <w:t>Share of children under age five who have low height for their age, reflecting chronic undernutrition.</w:t>
      </w:r>
    </w:p>
    <w:p w14:paraId="0A0AF601" w14:textId="77777777" w:rsidR="00756FCC" w:rsidRPr="00764346" w:rsidRDefault="00756FCC" w:rsidP="003F6A7A">
      <w:pPr>
        <w:pStyle w:val="ListParagraph"/>
        <w:numPr>
          <w:ilvl w:val="0"/>
          <w:numId w:val="21"/>
        </w:numPr>
        <w:spacing w:after="150" w:line="360" w:lineRule="auto"/>
        <w:ind w:right="45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Child Mortality</w:t>
      </w:r>
      <w:r w:rsidRPr="00764346">
        <w:rPr>
          <w:rFonts w:ascii="Old Standard" w:hAnsi="Old Standard" w:cs="Old Standard"/>
          <w:color w:val="000099"/>
          <w:sz w:val="24"/>
          <w:szCs w:val="24"/>
        </w:rPr>
        <w:t xml:space="preserve">: </w:t>
      </w:r>
      <w:r w:rsidRPr="00764346">
        <w:rPr>
          <w:rFonts w:ascii="Old Standard" w:hAnsi="Old Standard" w:cs="Old Standard"/>
          <w:sz w:val="24"/>
          <w:szCs w:val="24"/>
        </w:rPr>
        <w:t>The mortality rate of children under the age of five.</w:t>
      </w:r>
    </w:p>
    <w:p w14:paraId="618C293A" w14:textId="77777777" w:rsidR="00756FCC" w:rsidRPr="00764346" w:rsidRDefault="00756FCC" w:rsidP="00756FCC">
      <w:pPr>
        <w:pStyle w:val="ListParagraph"/>
        <w:spacing w:after="150"/>
        <w:ind w:right="300"/>
        <w:rPr>
          <w:rStyle w:val="Strong"/>
          <w:rFonts w:ascii="Old Standard" w:hAnsi="Old Standard" w:cs="Old Standard"/>
          <w:b w:val="0"/>
          <w:bCs w:val="0"/>
          <w:sz w:val="24"/>
          <w:szCs w:val="24"/>
        </w:rPr>
      </w:pPr>
    </w:p>
    <w:p w14:paraId="59167DFF" w14:textId="77777777" w:rsidR="00756FCC" w:rsidRPr="00764346" w:rsidRDefault="00756FCC" w:rsidP="001B365B">
      <w:pPr>
        <w:pStyle w:val="ListParagraph"/>
        <w:numPr>
          <w:ilvl w:val="0"/>
          <w:numId w:val="26"/>
        </w:numPr>
        <w:spacing w:after="150"/>
        <w:ind w:right="300"/>
        <w:rPr>
          <w:rFonts w:ascii="Old Standard" w:hAnsi="Old Standard" w:cs="Old Standard"/>
          <w:sz w:val="24"/>
          <w:szCs w:val="24"/>
        </w:rPr>
      </w:pPr>
      <w:r w:rsidRPr="00764346">
        <w:rPr>
          <w:rStyle w:val="Strong"/>
          <w:rFonts w:ascii="Old Standard" w:hAnsi="Old Standard" w:cs="Old Standard"/>
          <w:color w:val="000099"/>
          <w:sz w:val="24"/>
          <w:szCs w:val="24"/>
        </w:rPr>
        <w:t>Data Collection:</w:t>
      </w:r>
      <w:r w:rsidRPr="00764346">
        <w:rPr>
          <w:rFonts w:ascii="Old Standard" w:hAnsi="Old Standard" w:cs="Old Standard"/>
          <w:sz w:val="24"/>
          <w:szCs w:val="24"/>
        </w:rPr>
        <w:br/>
      </w:r>
    </w:p>
    <w:p w14:paraId="4EEC7701" w14:textId="77777777" w:rsidR="00756FCC" w:rsidRPr="00764346" w:rsidRDefault="00756FCC" w:rsidP="001B365B">
      <w:pPr>
        <w:pStyle w:val="ListParagraph"/>
        <w:numPr>
          <w:ilvl w:val="0"/>
          <w:numId w:val="27"/>
        </w:numPr>
        <w:spacing w:after="150" w:line="360" w:lineRule="auto"/>
        <w:ind w:left="1077" w:right="448" w:hanging="357"/>
        <w:jc w:val="both"/>
        <w:rPr>
          <w:rFonts w:ascii="Old Standard" w:hAnsi="Old Standard" w:cs="Old Standard"/>
          <w:sz w:val="24"/>
          <w:szCs w:val="24"/>
        </w:rPr>
      </w:pPr>
      <w:r w:rsidRPr="00764346">
        <w:rPr>
          <w:rFonts w:ascii="Old Standard" w:hAnsi="Old Standard" w:cs="Old Standard"/>
          <w:sz w:val="24"/>
          <w:szCs w:val="24"/>
        </w:rPr>
        <w:t>Undernourishment data are provided by the </w:t>
      </w:r>
      <w:hyperlink r:id="rId8" w:anchor=":~:text=Food%20and%20Agriculture%20Organization,based%20in%20Rome%20(Italy)." w:tgtFrame="_blank" w:history="1">
        <w:r w:rsidRPr="00764346">
          <w:rPr>
            <w:rStyle w:val="Strong"/>
            <w:rFonts w:ascii="Old Standard" w:hAnsi="Old Standard" w:cs="Old Standard"/>
            <w:sz w:val="24"/>
            <w:szCs w:val="24"/>
          </w:rPr>
          <w:t>Food and Agriculture Organisation</w:t>
        </w:r>
      </w:hyperlink>
      <w:r w:rsidRPr="00764346">
        <w:rPr>
          <w:rFonts w:ascii="Old Standard" w:hAnsi="Old Standard" w:cs="Old Standard"/>
          <w:sz w:val="24"/>
          <w:szCs w:val="24"/>
        </w:rPr>
        <w:t> and child mortality data are sourced from the </w:t>
      </w:r>
      <w:hyperlink r:id="rId9" w:tgtFrame="_blank" w:history="1">
        <w:r w:rsidRPr="00764346">
          <w:rPr>
            <w:rStyle w:val="Strong"/>
            <w:rFonts w:ascii="Old Standard" w:hAnsi="Old Standard" w:cs="Old Standard"/>
            <w:sz w:val="24"/>
            <w:szCs w:val="24"/>
          </w:rPr>
          <w:t>UN Inter-agency Group for Child Mortality Estimation (UN IGME).</w:t>
        </w:r>
      </w:hyperlink>
    </w:p>
    <w:p w14:paraId="609E3342" w14:textId="77777777" w:rsidR="00756FCC" w:rsidRPr="00764346" w:rsidRDefault="00756FCC" w:rsidP="001B365B">
      <w:pPr>
        <w:pStyle w:val="ListParagraph"/>
        <w:numPr>
          <w:ilvl w:val="0"/>
          <w:numId w:val="27"/>
        </w:numPr>
        <w:spacing w:after="150" w:line="360" w:lineRule="auto"/>
        <w:ind w:left="1077" w:right="448" w:hanging="357"/>
        <w:jc w:val="both"/>
        <w:rPr>
          <w:rFonts w:ascii="Old Standard" w:hAnsi="Old Standard" w:cs="Old Standard"/>
          <w:sz w:val="24"/>
          <w:szCs w:val="24"/>
        </w:rPr>
      </w:pPr>
      <w:r w:rsidRPr="00764346">
        <w:rPr>
          <w:rFonts w:ascii="Old Standard" w:hAnsi="Old Standard" w:cs="Old Standard"/>
          <w:sz w:val="24"/>
          <w:szCs w:val="24"/>
        </w:rPr>
        <w:t>Child wasting and stunting data are drawn from the joint database of </w:t>
      </w:r>
      <w:hyperlink r:id="rId10" w:tgtFrame="_blank" w:history="1">
        <w:r w:rsidRPr="00764346">
          <w:rPr>
            <w:rStyle w:val="Strong"/>
            <w:rFonts w:ascii="Old Standard" w:hAnsi="Old Standard" w:cs="Old Standard"/>
            <w:sz w:val="24"/>
            <w:szCs w:val="24"/>
          </w:rPr>
          <w:t>UNICEF,</w:t>
        </w:r>
      </w:hyperlink>
      <w:r w:rsidRPr="00764346">
        <w:rPr>
          <w:rFonts w:ascii="Old Standard" w:hAnsi="Old Standard" w:cs="Old Standard"/>
          <w:sz w:val="24"/>
          <w:szCs w:val="24"/>
        </w:rPr>
        <w:t> the </w:t>
      </w:r>
      <w:hyperlink r:id="rId11" w:tgtFrame="_blank" w:history="1">
        <w:r w:rsidRPr="00764346">
          <w:rPr>
            <w:rStyle w:val="Strong"/>
            <w:rFonts w:ascii="Old Standard" w:hAnsi="Old Standard" w:cs="Old Standard"/>
            <w:sz w:val="24"/>
            <w:szCs w:val="24"/>
          </w:rPr>
          <w:t>World Health Organization (WHO)</w:t>
        </w:r>
      </w:hyperlink>
      <w:r w:rsidRPr="00764346">
        <w:rPr>
          <w:rFonts w:ascii="Old Standard" w:hAnsi="Old Standard" w:cs="Old Standard"/>
          <w:sz w:val="24"/>
          <w:szCs w:val="24"/>
        </w:rPr>
        <w:t> and the </w:t>
      </w:r>
      <w:hyperlink r:id="rId12" w:tgtFrame="_blank" w:history="1">
        <w:r w:rsidRPr="00764346">
          <w:rPr>
            <w:rStyle w:val="Strong"/>
            <w:rFonts w:ascii="Old Standard" w:hAnsi="Old Standard" w:cs="Old Standard"/>
            <w:sz w:val="24"/>
            <w:szCs w:val="24"/>
          </w:rPr>
          <w:t>World Bank</w:t>
        </w:r>
      </w:hyperlink>
      <w:r w:rsidRPr="00764346">
        <w:rPr>
          <w:rFonts w:ascii="Old Standard" w:hAnsi="Old Standard" w:cs="Old Standard"/>
          <w:sz w:val="24"/>
          <w:szCs w:val="24"/>
        </w:rPr>
        <w:t>, among others.</w:t>
      </w:r>
    </w:p>
    <w:p w14:paraId="3345CF41" w14:textId="10912597" w:rsidR="0034556D" w:rsidRPr="005222CF" w:rsidRDefault="00756FCC" w:rsidP="0034556D">
      <w:pPr>
        <w:rPr>
          <w:rFonts w:ascii="Old Standard" w:hAnsi="Old Standard"/>
          <w:b/>
          <w:bCs/>
          <w:color w:val="C00000"/>
          <w:sz w:val="28"/>
          <w:szCs w:val="28"/>
        </w:rPr>
      </w:pPr>
      <w:r w:rsidRPr="005222CF">
        <w:rPr>
          <w:rFonts w:ascii="Old Standard" w:hAnsi="Old Standard"/>
          <w:b/>
          <w:bCs/>
          <w:color w:val="C00000"/>
          <w:sz w:val="28"/>
          <w:szCs w:val="28"/>
        </w:rPr>
        <w:t>Indian</w:t>
      </w:r>
      <w:r w:rsidR="0034556D" w:rsidRPr="005222CF">
        <w:rPr>
          <w:rFonts w:ascii="Old Standard" w:hAnsi="Old Standard"/>
          <w:b/>
          <w:bCs/>
          <w:color w:val="C00000"/>
          <w:sz w:val="28"/>
          <w:szCs w:val="28"/>
        </w:rPr>
        <w:t xml:space="preserve"> </w:t>
      </w:r>
      <w:r w:rsidRPr="005222CF">
        <w:rPr>
          <w:rFonts w:ascii="Old Standard" w:hAnsi="Old Standard"/>
          <w:b/>
          <w:bCs/>
          <w:color w:val="C00000"/>
          <w:sz w:val="28"/>
          <w:szCs w:val="28"/>
        </w:rPr>
        <w:t>Scenario</w:t>
      </w:r>
    </w:p>
    <w:p w14:paraId="7B17EE91" w14:textId="77777777" w:rsidR="00756FCC" w:rsidRPr="00764346" w:rsidRDefault="00756FCC" w:rsidP="00AD7C35">
      <w:pPr>
        <w:pStyle w:val="ListParagraph"/>
        <w:numPr>
          <w:ilvl w:val="0"/>
          <w:numId w:val="28"/>
        </w:numPr>
        <w:spacing w:after="150" w:line="360" w:lineRule="auto"/>
        <w:ind w:right="150"/>
        <w:jc w:val="both"/>
        <w:rPr>
          <w:rFonts w:ascii="Old Standard" w:hAnsi="Old Standard" w:cstheme="minorHAnsi"/>
          <w:sz w:val="24"/>
          <w:szCs w:val="24"/>
        </w:rPr>
      </w:pPr>
      <w:r w:rsidRPr="00764346">
        <w:rPr>
          <w:rStyle w:val="Strong"/>
          <w:rFonts w:ascii="Old Standard" w:hAnsi="Old Standard" w:cstheme="minorHAnsi"/>
          <w:sz w:val="24"/>
          <w:szCs w:val="24"/>
        </w:rPr>
        <w:t>Since 2000, India has made substantial progress,</w:t>
      </w:r>
      <w:r w:rsidRPr="00764346">
        <w:rPr>
          <w:rFonts w:ascii="Old Standard" w:hAnsi="Old Standard" w:cstheme="minorHAnsi"/>
          <w:sz w:val="24"/>
          <w:szCs w:val="24"/>
        </w:rPr>
        <w:t> but there are </w:t>
      </w:r>
      <w:r w:rsidRPr="00764346">
        <w:rPr>
          <w:rStyle w:val="Strong"/>
          <w:rFonts w:ascii="Old Standard" w:hAnsi="Old Standard" w:cstheme="minorHAnsi"/>
          <w:sz w:val="24"/>
          <w:szCs w:val="24"/>
        </w:rPr>
        <w:t>still areas of concern,</w:t>
      </w:r>
      <w:r w:rsidRPr="00764346">
        <w:rPr>
          <w:rFonts w:ascii="Old Standard" w:hAnsi="Old Standard" w:cstheme="minorHAnsi"/>
          <w:sz w:val="24"/>
          <w:szCs w:val="24"/>
        </w:rPr>
        <w:t> particularly regarding child nutrition.</w:t>
      </w:r>
    </w:p>
    <w:p w14:paraId="60282C15" w14:textId="77777777"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t>India’s </w:t>
      </w:r>
      <w:r w:rsidRPr="00764346">
        <w:rPr>
          <w:rStyle w:val="Strong"/>
          <w:rFonts w:ascii="Old Standard" w:hAnsi="Old Standard" w:cstheme="minorHAnsi"/>
          <w:sz w:val="24"/>
          <w:szCs w:val="24"/>
        </w:rPr>
        <w:t>GHI score has decreased</w:t>
      </w:r>
      <w:r w:rsidRPr="00764346">
        <w:rPr>
          <w:rFonts w:ascii="Old Standard" w:hAnsi="Old Standard" w:cstheme="minorHAnsi"/>
          <w:sz w:val="24"/>
          <w:szCs w:val="24"/>
        </w:rPr>
        <w:t> from a 2000 GHI score of 38.8 points - considered alarming - to a 2021 GHI score of 27.5 - considered serious.</w:t>
      </w:r>
    </w:p>
    <w:p w14:paraId="003018B2" w14:textId="77777777"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t>The </w:t>
      </w:r>
      <w:r w:rsidRPr="00764346">
        <w:rPr>
          <w:rStyle w:val="Strong"/>
          <w:rFonts w:ascii="Old Standard" w:hAnsi="Old Standard" w:cstheme="minorHAnsi"/>
          <w:sz w:val="24"/>
          <w:szCs w:val="24"/>
        </w:rPr>
        <w:t>proportion of undernourished</w:t>
      </w:r>
      <w:r w:rsidRPr="00764346">
        <w:rPr>
          <w:rFonts w:ascii="Old Standard" w:hAnsi="Old Standard" w:cstheme="minorHAnsi"/>
          <w:sz w:val="24"/>
          <w:szCs w:val="24"/>
        </w:rPr>
        <w:t> in the population and the </w:t>
      </w:r>
      <w:r w:rsidRPr="00764346">
        <w:rPr>
          <w:rStyle w:val="Strong"/>
          <w:rFonts w:ascii="Old Standard" w:hAnsi="Old Standard" w:cstheme="minorHAnsi"/>
          <w:sz w:val="24"/>
          <w:szCs w:val="24"/>
        </w:rPr>
        <w:t>under-five child mortality rate</w:t>
      </w:r>
      <w:r w:rsidRPr="00764346">
        <w:rPr>
          <w:rFonts w:ascii="Old Standard" w:hAnsi="Old Standard" w:cstheme="minorHAnsi"/>
          <w:sz w:val="24"/>
          <w:szCs w:val="24"/>
        </w:rPr>
        <w:t> are </w:t>
      </w:r>
      <w:r w:rsidRPr="00764346">
        <w:rPr>
          <w:rStyle w:val="Strong"/>
          <w:rFonts w:ascii="Old Standard" w:hAnsi="Old Standard" w:cstheme="minorHAnsi"/>
          <w:sz w:val="24"/>
          <w:szCs w:val="24"/>
        </w:rPr>
        <w:t>now at relatively low levels</w:t>
      </w:r>
      <w:r w:rsidRPr="00764346">
        <w:rPr>
          <w:rFonts w:ascii="Old Standard" w:hAnsi="Old Standard" w:cstheme="minorHAnsi"/>
          <w:sz w:val="24"/>
          <w:szCs w:val="24"/>
        </w:rPr>
        <w:t>.</w:t>
      </w:r>
    </w:p>
    <w:p w14:paraId="503009D4" w14:textId="77777777"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lastRenderedPageBreak/>
        <w:t>While </w:t>
      </w:r>
      <w:r w:rsidRPr="00764346">
        <w:rPr>
          <w:rStyle w:val="Strong"/>
          <w:rFonts w:ascii="Old Standard" w:hAnsi="Old Standard" w:cstheme="minorHAnsi"/>
          <w:sz w:val="24"/>
          <w:szCs w:val="24"/>
        </w:rPr>
        <w:t>child stunting</w:t>
      </w:r>
      <w:r w:rsidRPr="00764346">
        <w:rPr>
          <w:rFonts w:ascii="Old Standard" w:hAnsi="Old Standard" w:cstheme="minorHAnsi"/>
          <w:sz w:val="24"/>
          <w:szCs w:val="24"/>
        </w:rPr>
        <w:t> has seen a </w:t>
      </w:r>
      <w:r w:rsidRPr="00764346">
        <w:rPr>
          <w:rStyle w:val="Strong"/>
          <w:rFonts w:ascii="Old Standard" w:hAnsi="Old Standard" w:cstheme="minorHAnsi"/>
          <w:sz w:val="24"/>
          <w:szCs w:val="24"/>
        </w:rPr>
        <w:t>significant decrease</w:t>
      </w:r>
      <w:r w:rsidRPr="00764346">
        <w:rPr>
          <w:rFonts w:ascii="Old Standard" w:hAnsi="Old Standard" w:cstheme="minorHAnsi"/>
          <w:sz w:val="24"/>
          <w:szCs w:val="24"/>
        </w:rPr>
        <w:t> - from 54.2% in 1998-1999 to 34.7% in 2016-2018 - it is </w:t>
      </w:r>
      <w:r w:rsidRPr="00764346">
        <w:rPr>
          <w:rStyle w:val="Strong"/>
          <w:rFonts w:ascii="Old Standard" w:hAnsi="Old Standard" w:cstheme="minorHAnsi"/>
          <w:sz w:val="24"/>
          <w:szCs w:val="24"/>
        </w:rPr>
        <w:t>still considered very high.</w:t>
      </w:r>
    </w:p>
    <w:p w14:paraId="5DF5E773" w14:textId="77777777"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t>At </w:t>
      </w:r>
      <w:r w:rsidRPr="00764346">
        <w:rPr>
          <w:rStyle w:val="Strong"/>
          <w:rFonts w:ascii="Old Standard" w:hAnsi="Old Standard" w:cstheme="minorHAnsi"/>
          <w:sz w:val="24"/>
          <w:szCs w:val="24"/>
        </w:rPr>
        <w:t>17.3%</w:t>
      </w:r>
      <w:r w:rsidRPr="00764346">
        <w:rPr>
          <w:rFonts w:ascii="Old Standard" w:hAnsi="Old Standard" w:cstheme="minorHAnsi"/>
          <w:sz w:val="24"/>
          <w:szCs w:val="24"/>
        </w:rPr>
        <w:t>, India has the </w:t>
      </w:r>
      <w:r w:rsidRPr="00764346">
        <w:rPr>
          <w:rStyle w:val="Strong"/>
          <w:rFonts w:ascii="Old Standard" w:hAnsi="Old Standard" w:cstheme="minorHAnsi"/>
          <w:sz w:val="24"/>
          <w:szCs w:val="24"/>
        </w:rPr>
        <w:t>highest child wasting rate of all countries</w:t>
      </w:r>
      <w:r w:rsidRPr="00764346">
        <w:rPr>
          <w:rFonts w:ascii="Old Standard" w:hAnsi="Old Standard" w:cstheme="minorHAnsi"/>
          <w:sz w:val="24"/>
          <w:szCs w:val="24"/>
        </w:rPr>
        <w:t> covered in the GHI. This rate is </w:t>
      </w:r>
      <w:r w:rsidRPr="00764346">
        <w:rPr>
          <w:rStyle w:val="Strong"/>
          <w:rFonts w:ascii="Old Standard" w:hAnsi="Old Standard" w:cstheme="minorHAnsi"/>
          <w:sz w:val="24"/>
          <w:szCs w:val="24"/>
        </w:rPr>
        <w:t>slightly higher than it was in 1998-1999</w:t>
      </w:r>
      <w:r w:rsidRPr="00764346">
        <w:rPr>
          <w:rFonts w:ascii="Old Standard" w:hAnsi="Old Standard" w:cstheme="minorHAnsi"/>
          <w:sz w:val="24"/>
          <w:szCs w:val="24"/>
        </w:rPr>
        <w:t>, when it was 17.1%.</w:t>
      </w:r>
    </w:p>
    <w:p w14:paraId="3DBD2269" w14:textId="77777777"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t>According to the Index, </w:t>
      </w:r>
      <w:r w:rsidRPr="00764346">
        <w:rPr>
          <w:rStyle w:val="Strong"/>
          <w:rFonts w:ascii="Old Standard" w:hAnsi="Old Standard" w:cstheme="minorHAnsi"/>
          <w:sz w:val="24"/>
          <w:szCs w:val="24"/>
        </w:rPr>
        <w:t>only 15 countries fare worse than India.</w:t>
      </w:r>
    </w:p>
    <w:p w14:paraId="1BDDE4BF" w14:textId="4B67219F"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t>India was also </w:t>
      </w:r>
      <w:r w:rsidRPr="00764346">
        <w:rPr>
          <w:rStyle w:val="Strong"/>
          <w:rFonts w:ascii="Old Standard" w:hAnsi="Old Standard" w:cstheme="minorHAnsi"/>
          <w:sz w:val="24"/>
          <w:szCs w:val="24"/>
        </w:rPr>
        <w:t>behind most of the neighbouring countries</w:t>
      </w:r>
      <w:r w:rsidRPr="00764346">
        <w:rPr>
          <w:rFonts w:ascii="Old Standard" w:hAnsi="Old Standard" w:cstheme="minorHAnsi"/>
          <w:sz w:val="24"/>
          <w:szCs w:val="24"/>
        </w:rPr>
        <w:t>. Pakistan was placed at 92, Nepal and Bangladesh at 76 and Sri Lanka at 65.</w:t>
      </w:r>
    </w:p>
    <w:p w14:paraId="51E36E16" w14:textId="77777777" w:rsidR="00AD7C35" w:rsidRPr="005222CF" w:rsidRDefault="00AD7C35" w:rsidP="00AD7C35">
      <w:pPr>
        <w:spacing w:after="150" w:line="360" w:lineRule="auto"/>
        <w:ind w:right="301"/>
        <w:jc w:val="both"/>
        <w:rPr>
          <w:rFonts w:ascii="Old Standard" w:hAnsi="Old Standard"/>
        </w:rPr>
      </w:pPr>
      <w:r w:rsidRPr="005222CF">
        <w:rPr>
          <w:rFonts w:ascii="Old Standard" w:hAnsi="Old Standard"/>
          <w:b/>
          <w:bCs/>
          <w:color w:val="C00000"/>
          <w:sz w:val="28"/>
          <w:szCs w:val="28"/>
        </w:rPr>
        <w:t>Ranking of other nations</w:t>
      </w:r>
    </w:p>
    <w:p w14:paraId="2A77BBC5" w14:textId="6611EA22" w:rsidR="00AD7C35" w:rsidRPr="00764346" w:rsidRDefault="00AD7C35" w:rsidP="00AD7C35">
      <w:pPr>
        <w:pStyle w:val="ListParagraph"/>
        <w:numPr>
          <w:ilvl w:val="0"/>
          <w:numId w:val="29"/>
        </w:numPr>
        <w:spacing w:after="150" w:line="360" w:lineRule="auto"/>
        <w:ind w:left="714" w:right="301" w:hanging="357"/>
        <w:jc w:val="both"/>
        <w:rPr>
          <w:rFonts w:ascii="Old Standard" w:hAnsi="Old Standard"/>
          <w:sz w:val="24"/>
          <w:szCs w:val="24"/>
        </w:rPr>
      </w:pPr>
      <w:r w:rsidRPr="00764346">
        <w:rPr>
          <w:rFonts w:ascii="Old Standard" w:hAnsi="Old Standard"/>
          <w:sz w:val="24"/>
          <w:szCs w:val="24"/>
        </w:rPr>
        <w:t xml:space="preserve">Nepal (76), Bangladesh (76), Myanmar (71) and Pakistan (92), all of India's neighbours, have been classified as having "alarming" levels of hunger. However, when it comes to hunger indices, they have all outperformed India. </w:t>
      </w:r>
    </w:p>
    <w:p w14:paraId="58500353" w14:textId="77777777" w:rsidR="00AD7C35" w:rsidRPr="00764346" w:rsidRDefault="00AD7C35" w:rsidP="00AD7C35">
      <w:pPr>
        <w:pStyle w:val="ListParagraph"/>
        <w:spacing w:after="150" w:line="360" w:lineRule="auto"/>
        <w:ind w:left="714" w:right="301"/>
        <w:jc w:val="both"/>
        <w:rPr>
          <w:rFonts w:ascii="Old Standard" w:hAnsi="Old Standard"/>
          <w:sz w:val="24"/>
          <w:szCs w:val="24"/>
        </w:rPr>
      </w:pPr>
    </w:p>
    <w:p w14:paraId="4BE71705" w14:textId="109C735A" w:rsidR="00AD7C35" w:rsidRPr="00764346" w:rsidRDefault="00AD7C35" w:rsidP="00AD7C35">
      <w:pPr>
        <w:pStyle w:val="ListParagraph"/>
        <w:numPr>
          <w:ilvl w:val="0"/>
          <w:numId w:val="29"/>
        </w:numPr>
        <w:spacing w:after="150" w:line="360" w:lineRule="auto"/>
        <w:ind w:left="714" w:right="301" w:hanging="357"/>
        <w:jc w:val="both"/>
        <w:rPr>
          <w:rFonts w:ascii="Old Standard" w:hAnsi="Old Standard"/>
          <w:sz w:val="24"/>
          <w:szCs w:val="24"/>
        </w:rPr>
      </w:pPr>
      <w:r w:rsidRPr="00764346">
        <w:rPr>
          <w:rFonts w:ascii="Old Standard" w:hAnsi="Old Standard"/>
          <w:sz w:val="24"/>
          <w:szCs w:val="24"/>
        </w:rPr>
        <w:t xml:space="preserve">Only 15 countries performed worse than India this year: Papua New Guinea (102), Afghanistan (103), Nigeria (103), Congo (105), Mozambique (106), Sierra Leone (106), Timor-Leste (108), Haiti (109), Liberia (110), Madagascar (111), Democratic Republic of Congo (112), Chad (113), Central African Republic (114), Yemen (115), and Somalia (116). </w:t>
      </w:r>
    </w:p>
    <w:p w14:paraId="311D9184" w14:textId="77777777" w:rsidR="00AD7C35" w:rsidRPr="00764346" w:rsidRDefault="00AD7C35" w:rsidP="00AD7C35">
      <w:pPr>
        <w:pStyle w:val="ListParagraph"/>
        <w:rPr>
          <w:rFonts w:ascii="Old Standard" w:hAnsi="Old Standard"/>
          <w:sz w:val="24"/>
          <w:szCs w:val="24"/>
        </w:rPr>
      </w:pPr>
    </w:p>
    <w:p w14:paraId="4E81B23E" w14:textId="09A2F6EA" w:rsidR="00756FCC" w:rsidRPr="00764346" w:rsidRDefault="00AD7C35" w:rsidP="00AD7C35">
      <w:pPr>
        <w:pStyle w:val="ListParagraph"/>
        <w:numPr>
          <w:ilvl w:val="0"/>
          <w:numId w:val="29"/>
        </w:numPr>
        <w:spacing w:after="150" w:line="360" w:lineRule="auto"/>
        <w:ind w:left="714" w:right="301" w:hanging="357"/>
        <w:jc w:val="both"/>
        <w:rPr>
          <w:rFonts w:ascii="Old Standard" w:hAnsi="Old Standard"/>
          <w:sz w:val="24"/>
          <w:szCs w:val="24"/>
        </w:rPr>
      </w:pPr>
      <w:r w:rsidRPr="00764346">
        <w:rPr>
          <w:rFonts w:ascii="Old Standard" w:hAnsi="Old Standard"/>
          <w:sz w:val="24"/>
          <w:szCs w:val="24"/>
        </w:rPr>
        <w:t>With a GHI score of less than five, 18 countries, including China, Brazil, and Kuwait, are at the top of the GHI ranking.</w:t>
      </w:r>
    </w:p>
    <w:p w14:paraId="6D583D64" w14:textId="1D7000B6" w:rsidR="00756FCC" w:rsidRPr="005222CF" w:rsidRDefault="00756FCC" w:rsidP="00756FCC">
      <w:pPr>
        <w:rPr>
          <w:rFonts w:ascii="Old Standard" w:hAnsi="Old Standard"/>
          <w:b/>
          <w:bCs/>
          <w:color w:val="C00000"/>
          <w:sz w:val="28"/>
          <w:szCs w:val="28"/>
        </w:rPr>
      </w:pPr>
      <w:r w:rsidRPr="005222CF">
        <w:rPr>
          <w:rFonts w:ascii="Old Standard" w:hAnsi="Old Standard"/>
          <w:b/>
          <w:bCs/>
          <w:color w:val="C00000"/>
          <w:sz w:val="28"/>
          <w:szCs w:val="28"/>
        </w:rPr>
        <w:t>Government of India Stand</w:t>
      </w:r>
    </w:p>
    <w:p w14:paraId="3410389A" w14:textId="77777777" w:rsidR="00756FCC" w:rsidRPr="005222CF" w:rsidRDefault="00756FCC" w:rsidP="00756FCC">
      <w:pPr>
        <w:spacing w:after="150" w:line="240" w:lineRule="auto"/>
        <w:ind w:right="300"/>
        <w:rPr>
          <w:rFonts w:ascii="Old Standard" w:hAnsi="Old Standard" w:cstheme="minorHAnsi"/>
        </w:rPr>
      </w:pPr>
    </w:p>
    <w:p w14:paraId="6FC9646F" w14:textId="1E5555E1" w:rsidR="00756FCC" w:rsidRPr="00764346" w:rsidRDefault="00756FCC" w:rsidP="00AD7C35">
      <w:pPr>
        <w:pStyle w:val="ListParagraph"/>
        <w:numPr>
          <w:ilvl w:val="0"/>
          <w:numId w:val="33"/>
        </w:numPr>
        <w:spacing w:after="150" w:line="360" w:lineRule="auto"/>
        <w:ind w:right="300"/>
        <w:jc w:val="both"/>
        <w:rPr>
          <w:rStyle w:val="Strong"/>
          <w:rFonts w:ascii="Old Standard" w:hAnsi="Old Standard" w:cs="Old Standard"/>
          <w:b w:val="0"/>
          <w:bCs w:val="0"/>
          <w:sz w:val="24"/>
          <w:szCs w:val="24"/>
        </w:rPr>
      </w:pPr>
      <w:r w:rsidRPr="00764346">
        <w:rPr>
          <w:rFonts w:ascii="Old Standard" w:hAnsi="Old Standard" w:cs="Old Standard"/>
          <w:sz w:val="24"/>
          <w:szCs w:val="24"/>
        </w:rPr>
        <w:t>The </w:t>
      </w:r>
      <w:r w:rsidRPr="00764346">
        <w:rPr>
          <w:rStyle w:val="Strong"/>
          <w:rFonts w:ascii="Old Standard" w:hAnsi="Old Standard" w:cs="Old Standard"/>
          <w:sz w:val="24"/>
          <w:szCs w:val="24"/>
        </w:rPr>
        <w:t>Ministry of Women and Child Development</w:t>
      </w:r>
      <w:r w:rsidRPr="00764346">
        <w:rPr>
          <w:rFonts w:ascii="Old Standard" w:hAnsi="Old Standard" w:cs="Old Standard"/>
          <w:sz w:val="24"/>
          <w:szCs w:val="24"/>
        </w:rPr>
        <w:t> has </w:t>
      </w:r>
      <w:r w:rsidRPr="00764346">
        <w:rPr>
          <w:rStyle w:val="Strong"/>
          <w:rFonts w:ascii="Old Standard" w:hAnsi="Old Standard" w:cs="Old Standard"/>
          <w:sz w:val="24"/>
          <w:szCs w:val="24"/>
        </w:rPr>
        <w:t>criticised the report</w:t>
      </w:r>
      <w:r w:rsidRPr="00764346">
        <w:rPr>
          <w:rFonts w:ascii="Old Standard" w:hAnsi="Old Standard" w:cs="Old Standard"/>
          <w:sz w:val="24"/>
          <w:szCs w:val="24"/>
        </w:rPr>
        <w:t> claiming that the methodology used by FAO is </w:t>
      </w:r>
      <w:r w:rsidRPr="00764346">
        <w:rPr>
          <w:rStyle w:val="Strong"/>
          <w:rFonts w:ascii="Old Standard" w:hAnsi="Old Standard" w:cs="Old Standard"/>
          <w:sz w:val="24"/>
          <w:szCs w:val="24"/>
        </w:rPr>
        <w:t>unscientific.</w:t>
      </w:r>
    </w:p>
    <w:p w14:paraId="4ACC5787" w14:textId="77777777" w:rsidR="00AD7C35" w:rsidRPr="00764346" w:rsidRDefault="00AD7C35" w:rsidP="00AD7C35">
      <w:pPr>
        <w:pStyle w:val="ListParagraph"/>
        <w:spacing w:after="150" w:line="360" w:lineRule="auto"/>
        <w:ind w:left="714" w:right="300"/>
        <w:jc w:val="both"/>
        <w:rPr>
          <w:rFonts w:ascii="Old Standard" w:hAnsi="Old Standard" w:cs="Old Standard"/>
          <w:sz w:val="24"/>
          <w:szCs w:val="24"/>
        </w:rPr>
      </w:pPr>
    </w:p>
    <w:p w14:paraId="1C1EEFB6" w14:textId="2B1CDBCD" w:rsidR="00756FCC" w:rsidRPr="00764346" w:rsidRDefault="00756FCC" w:rsidP="00AD7C35">
      <w:pPr>
        <w:pStyle w:val="ListParagraph"/>
        <w:numPr>
          <w:ilvl w:val="0"/>
          <w:numId w:val="33"/>
        </w:numPr>
        <w:spacing w:after="150" w:line="360" w:lineRule="auto"/>
        <w:ind w:right="300"/>
        <w:jc w:val="both"/>
        <w:rPr>
          <w:rFonts w:ascii="Old Standard" w:hAnsi="Old Standard" w:cs="Old Standard"/>
          <w:sz w:val="24"/>
          <w:szCs w:val="24"/>
        </w:rPr>
      </w:pPr>
      <w:r w:rsidRPr="00764346">
        <w:rPr>
          <w:rFonts w:ascii="Old Standard" w:hAnsi="Old Standard" w:cs="Old Standard"/>
          <w:sz w:val="24"/>
          <w:szCs w:val="24"/>
        </w:rPr>
        <w:t>According to the Government, the </w:t>
      </w:r>
      <w:r w:rsidRPr="00764346">
        <w:rPr>
          <w:rStyle w:val="Strong"/>
          <w:rFonts w:ascii="Old Standard" w:hAnsi="Old Standard" w:cs="Old Standard"/>
          <w:sz w:val="24"/>
          <w:szCs w:val="24"/>
        </w:rPr>
        <w:t>Global Hunger Index Report 2021</w:t>
      </w:r>
      <w:r w:rsidRPr="00764346">
        <w:rPr>
          <w:rFonts w:ascii="Old Standard" w:hAnsi="Old Standard" w:cs="Old Standard"/>
          <w:sz w:val="24"/>
          <w:szCs w:val="24"/>
        </w:rPr>
        <w:t> and</w:t>
      </w:r>
      <w:r w:rsidRPr="00764346">
        <w:rPr>
          <w:rStyle w:val="Strong"/>
          <w:rFonts w:ascii="Old Standard" w:hAnsi="Old Standard" w:cs="Old Standard"/>
          <w:sz w:val="24"/>
          <w:szCs w:val="24"/>
        </w:rPr>
        <w:t> FAO report on</w:t>
      </w:r>
      <w:r w:rsidRPr="00764346">
        <w:rPr>
          <w:rFonts w:ascii="Old Standard" w:hAnsi="Old Standard" w:cs="Old Standard"/>
          <w:sz w:val="24"/>
          <w:szCs w:val="24"/>
        </w:rPr>
        <w:t> ‘</w:t>
      </w:r>
      <w:hyperlink r:id="rId13" w:anchor=":~:text=A%20report%20titled%20'The%20State,on%20food%20intake%20and%20malnutrition." w:tgtFrame="_blank" w:history="1">
        <w:r w:rsidRPr="00764346">
          <w:rPr>
            <w:rStyle w:val="Strong"/>
            <w:rFonts w:ascii="Old Standard" w:hAnsi="Old Standard" w:cs="Old Standard"/>
            <w:sz w:val="24"/>
            <w:szCs w:val="24"/>
          </w:rPr>
          <w:t>The State of Food Security and Nutrition in the World 2021</w:t>
        </w:r>
      </w:hyperlink>
      <w:r w:rsidRPr="00764346">
        <w:rPr>
          <w:rFonts w:ascii="Old Standard" w:hAnsi="Old Standard" w:cs="Old Standard"/>
          <w:sz w:val="24"/>
          <w:szCs w:val="24"/>
        </w:rPr>
        <w:t xml:space="preserve">’ have </w:t>
      </w:r>
      <w:r w:rsidRPr="00764346">
        <w:rPr>
          <w:rFonts w:ascii="Old Standard" w:hAnsi="Old Standard" w:cs="Old Standard"/>
          <w:sz w:val="24"/>
          <w:szCs w:val="24"/>
        </w:rPr>
        <w:lastRenderedPageBreak/>
        <w:t xml:space="preserve">completely ignored the </w:t>
      </w:r>
      <w:r w:rsidR="00AD7C35" w:rsidRPr="00764346">
        <w:rPr>
          <w:rFonts w:ascii="Old Standard" w:hAnsi="Old Standard" w:cs="Old Standard"/>
          <w:sz w:val="24"/>
          <w:szCs w:val="24"/>
        </w:rPr>
        <w:t>f</w:t>
      </w:r>
      <w:r w:rsidRPr="00764346">
        <w:rPr>
          <w:rFonts w:ascii="Old Standard" w:hAnsi="Old Standard" w:cs="Old Standard"/>
          <w:sz w:val="24"/>
          <w:szCs w:val="24"/>
        </w:rPr>
        <w:t>acts:</w:t>
      </w:r>
      <w:r w:rsidRPr="00764346">
        <w:rPr>
          <w:rFonts w:ascii="Old Standard" w:hAnsi="Old Standard" w:cs="Old Standard"/>
          <w:sz w:val="24"/>
          <w:szCs w:val="24"/>
        </w:rPr>
        <w:br/>
      </w:r>
    </w:p>
    <w:p w14:paraId="69DED67B" w14:textId="77777777" w:rsidR="00756FCC" w:rsidRPr="00764346" w:rsidRDefault="00756FCC" w:rsidP="00AD7C35">
      <w:pPr>
        <w:pStyle w:val="ListParagraph"/>
        <w:numPr>
          <w:ilvl w:val="0"/>
          <w:numId w:val="33"/>
        </w:numPr>
        <w:spacing w:after="150" w:line="360" w:lineRule="auto"/>
        <w:ind w:right="450"/>
        <w:jc w:val="both"/>
        <w:rPr>
          <w:rFonts w:ascii="Old Standard" w:hAnsi="Old Standard" w:cs="Old Standard"/>
          <w:sz w:val="24"/>
          <w:szCs w:val="24"/>
        </w:rPr>
      </w:pPr>
      <w:r w:rsidRPr="00764346">
        <w:rPr>
          <w:rFonts w:ascii="Old Standard" w:hAnsi="Old Standard" w:cs="Old Standard"/>
          <w:sz w:val="24"/>
          <w:szCs w:val="24"/>
        </w:rPr>
        <w:t>They have based their assessment on the results of a </w:t>
      </w:r>
      <w:r w:rsidRPr="00764346">
        <w:rPr>
          <w:rStyle w:val="Strong"/>
          <w:rFonts w:ascii="Old Standard" w:hAnsi="Old Standard" w:cs="Old Standard"/>
          <w:sz w:val="24"/>
          <w:szCs w:val="24"/>
        </w:rPr>
        <w:t>‘four question</w:t>
      </w:r>
      <w:r w:rsidRPr="00764346">
        <w:rPr>
          <w:rFonts w:ascii="Old Standard" w:hAnsi="Old Standard" w:cs="Old Standard"/>
          <w:sz w:val="24"/>
          <w:szCs w:val="24"/>
        </w:rPr>
        <w:t>’ opinion poll, which was</w:t>
      </w:r>
      <w:r w:rsidRPr="00764346">
        <w:rPr>
          <w:rStyle w:val="Strong"/>
          <w:rFonts w:ascii="Old Standard" w:hAnsi="Old Standard" w:cs="Old Standard"/>
          <w:sz w:val="24"/>
          <w:szCs w:val="24"/>
        </w:rPr>
        <w:t> conducted telephonically by Gallup.</w:t>
      </w:r>
      <w:r w:rsidRPr="00764346">
        <w:rPr>
          <w:rFonts w:ascii="Old Standard" w:hAnsi="Old Standard" w:cs="Old Standard"/>
          <w:sz w:val="24"/>
          <w:szCs w:val="24"/>
        </w:rPr>
        <w:br/>
      </w:r>
    </w:p>
    <w:p w14:paraId="4D53BC7F" w14:textId="467F981B" w:rsidR="00AD7C35" w:rsidRPr="00764346" w:rsidRDefault="00756FCC" w:rsidP="00AD7C35">
      <w:pPr>
        <w:pStyle w:val="ListParagraph"/>
        <w:numPr>
          <w:ilvl w:val="0"/>
          <w:numId w:val="33"/>
        </w:numPr>
        <w:spacing w:after="150" w:line="360" w:lineRule="auto"/>
        <w:ind w:right="600"/>
        <w:jc w:val="both"/>
        <w:rPr>
          <w:rStyle w:val="Strong"/>
          <w:rFonts w:ascii="Old Standard" w:hAnsi="Old Standard" w:cs="Old Standard"/>
          <w:b w:val="0"/>
          <w:bCs w:val="0"/>
          <w:sz w:val="24"/>
          <w:szCs w:val="24"/>
        </w:rPr>
      </w:pPr>
      <w:r w:rsidRPr="00764346">
        <w:rPr>
          <w:rFonts w:ascii="Old Standard" w:hAnsi="Old Standard" w:cs="Old Standard"/>
          <w:sz w:val="24"/>
          <w:szCs w:val="24"/>
        </w:rPr>
        <w:t>The scientific measurement of undernourishment would </w:t>
      </w:r>
      <w:r w:rsidRPr="00764346">
        <w:rPr>
          <w:rStyle w:val="Strong"/>
          <w:rFonts w:ascii="Old Standard" w:hAnsi="Old Standard" w:cs="Old Standard"/>
          <w:sz w:val="24"/>
          <w:szCs w:val="24"/>
        </w:rPr>
        <w:t>require measurement of weight and Height</w:t>
      </w:r>
      <w:r w:rsidRPr="00764346">
        <w:rPr>
          <w:rFonts w:ascii="Old Standard" w:hAnsi="Old Standard" w:cs="Old Standard"/>
          <w:sz w:val="24"/>
          <w:szCs w:val="24"/>
        </w:rPr>
        <w:t>, whereas the methodology involved here is based on a </w:t>
      </w:r>
      <w:r w:rsidRPr="00764346">
        <w:rPr>
          <w:rStyle w:val="Strong"/>
          <w:rFonts w:ascii="Old Standard" w:hAnsi="Old Standard" w:cs="Old Standard"/>
          <w:sz w:val="24"/>
          <w:szCs w:val="24"/>
        </w:rPr>
        <w:t>Gallup poll, based on a pure telephonic estimate of the population.</w:t>
      </w:r>
      <w:r w:rsidR="00AD7C35" w:rsidRPr="00764346">
        <w:rPr>
          <w:rStyle w:val="Strong"/>
          <w:rFonts w:ascii="Old Standard" w:hAnsi="Old Standard" w:cs="Old Standard"/>
          <w:sz w:val="24"/>
          <w:szCs w:val="24"/>
        </w:rPr>
        <w:t xml:space="preserve"> </w:t>
      </w:r>
      <w:r w:rsidR="00AD7C35" w:rsidRPr="00764346">
        <w:rPr>
          <w:rStyle w:val="Strong"/>
          <w:rFonts w:ascii="Old Standard" w:hAnsi="Old Standard" w:cs="Old Standard"/>
          <w:b w:val="0"/>
          <w:bCs w:val="0"/>
          <w:sz w:val="24"/>
          <w:szCs w:val="24"/>
        </w:rPr>
        <w:t xml:space="preserve">The government claims that the index failed to </w:t>
      </w:r>
      <w:proofErr w:type="gramStart"/>
      <w:r w:rsidR="00AD7C35" w:rsidRPr="00764346">
        <w:rPr>
          <w:rStyle w:val="Strong"/>
          <w:rFonts w:ascii="Old Standard" w:hAnsi="Old Standard" w:cs="Old Standard"/>
          <w:b w:val="0"/>
          <w:bCs w:val="0"/>
          <w:sz w:val="24"/>
          <w:szCs w:val="24"/>
        </w:rPr>
        <w:t>take into account</w:t>
      </w:r>
      <w:proofErr w:type="gramEnd"/>
      <w:r w:rsidR="00AD7C35" w:rsidRPr="00764346">
        <w:rPr>
          <w:rStyle w:val="Strong"/>
          <w:rFonts w:ascii="Old Standard" w:hAnsi="Old Standard" w:cs="Old Standard"/>
          <w:b w:val="0"/>
          <w:bCs w:val="0"/>
          <w:sz w:val="24"/>
          <w:szCs w:val="24"/>
        </w:rPr>
        <w:t xml:space="preserve"> the effort undertaken to feed people during the pandemic. This is because the poll did not inquire if the respondent received government food assistance. </w:t>
      </w:r>
    </w:p>
    <w:p w14:paraId="27FB20B9" w14:textId="77777777" w:rsidR="00AD7C35" w:rsidRPr="00764346" w:rsidRDefault="00AD7C35" w:rsidP="00AD7C35">
      <w:pPr>
        <w:pStyle w:val="ListParagraph"/>
        <w:spacing w:after="150" w:line="360" w:lineRule="auto"/>
        <w:ind w:right="600"/>
        <w:jc w:val="both"/>
        <w:rPr>
          <w:rStyle w:val="Strong"/>
          <w:rFonts w:ascii="Old Standard" w:hAnsi="Old Standard" w:cs="Old Standard"/>
          <w:sz w:val="24"/>
          <w:szCs w:val="24"/>
        </w:rPr>
      </w:pPr>
    </w:p>
    <w:p w14:paraId="004A02DD" w14:textId="77777777" w:rsidR="00AD7C35" w:rsidRPr="00764346" w:rsidRDefault="00756FCC" w:rsidP="00AD7C35">
      <w:pPr>
        <w:pStyle w:val="ListParagraph"/>
        <w:numPr>
          <w:ilvl w:val="0"/>
          <w:numId w:val="33"/>
        </w:numPr>
        <w:spacing w:after="150" w:line="360" w:lineRule="auto"/>
        <w:ind w:right="450"/>
        <w:jc w:val="both"/>
        <w:rPr>
          <w:rStyle w:val="Strong"/>
          <w:rFonts w:ascii="Old Standard" w:hAnsi="Old Standard" w:cs="Old Standard"/>
          <w:b w:val="0"/>
          <w:bCs w:val="0"/>
          <w:sz w:val="24"/>
          <w:szCs w:val="24"/>
        </w:rPr>
      </w:pPr>
      <w:r w:rsidRPr="00764346">
        <w:rPr>
          <w:rFonts w:ascii="Old Standard" w:hAnsi="Old Standard" w:cs="Old Standard"/>
          <w:sz w:val="24"/>
          <w:szCs w:val="24"/>
        </w:rPr>
        <w:t>The report completely </w:t>
      </w:r>
      <w:r w:rsidRPr="00764346">
        <w:rPr>
          <w:rStyle w:val="Strong"/>
          <w:rFonts w:ascii="Old Standard" w:hAnsi="Old Standard" w:cs="Old Standard"/>
          <w:sz w:val="24"/>
          <w:szCs w:val="24"/>
        </w:rPr>
        <w:t>disregards Government’s massive effort</w:t>
      </w:r>
      <w:r w:rsidRPr="00764346">
        <w:rPr>
          <w:rFonts w:ascii="Old Standard" w:hAnsi="Old Standard" w:cs="Old Standard"/>
          <w:sz w:val="24"/>
          <w:szCs w:val="24"/>
        </w:rPr>
        <w:t> to ensure food security of the entire population during the Covid period such as </w:t>
      </w:r>
      <w:hyperlink r:id="rId14" w:tgtFrame="_blank" w:history="1">
        <w:r w:rsidRPr="00764346">
          <w:rPr>
            <w:rStyle w:val="Strong"/>
            <w:rFonts w:ascii="Old Standard" w:hAnsi="Old Standard" w:cs="Old Standard"/>
            <w:sz w:val="24"/>
            <w:szCs w:val="24"/>
          </w:rPr>
          <w:t>Pradhan Mantri Garib Kalyan Anna Yojna (PMGKAY)</w:t>
        </w:r>
      </w:hyperlink>
      <w:r w:rsidRPr="00764346">
        <w:rPr>
          <w:rFonts w:ascii="Old Standard" w:hAnsi="Old Standard" w:cs="Old Standard"/>
          <w:sz w:val="24"/>
          <w:szCs w:val="24"/>
        </w:rPr>
        <w:t> and </w:t>
      </w:r>
      <w:hyperlink r:id="rId15" w:anchor=":~:text=Atmanirbhar%20Bharat%20Programme,GDP)%20in%202019%2D20." w:tgtFrame="_blank" w:history="1">
        <w:r w:rsidRPr="00764346">
          <w:rPr>
            <w:rStyle w:val="Strong"/>
            <w:rFonts w:ascii="Old Standard" w:hAnsi="Old Standard" w:cs="Old Standard"/>
            <w:sz w:val="24"/>
            <w:szCs w:val="24"/>
          </w:rPr>
          <w:t>Atmanirbhar Bharat Scheme (ANBS).</w:t>
        </w:r>
      </w:hyperlink>
    </w:p>
    <w:p w14:paraId="325C89D0" w14:textId="77777777" w:rsidR="00AD7C35" w:rsidRPr="005222CF" w:rsidRDefault="00AD7C35" w:rsidP="00AD7C35">
      <w:pPr>
        <w:pStyle w:val="ListParagraph"/>
        <w:rPr>
          <w:rFonts w:ascii="Old Standard" w:eastAsia="Times New Roman" w:hAnsi="Old Standard" w:cs="Calibri"/>
          <w:color w:val="000000"/>
          <w:lang w:eastAsia="en-IN"/>
        </w:rPr>
      </w:pPr>
    </w:p>
    <w:p w14:paraId="221D82A9" w14:textId="77777777" w:rsidR="00AD7C35" w:rsidRPr="005222CF" w:rsidRDefault="00AD7C35" w:rsidP="00AD7C35">
      <w:pPr>
        <w:spacing w:after="0"/>
        <w:rPr>
          <w:rFonts w:ascii="Old Standard" w:eastAsia="Times New Roman" w:hAnsi="Old Standard" w:cs="Times New Roman"/>
          <w:sz w:val="24"/>
          <w:szCs w:val="24"/>
          <w:lang w:eastAsia="en-IN"/>
        </w:rPr>
      </w:pPr>
      <w:r w:rsidRPr="005222CF">
        <w:rPr>
          <w:rFonts w:ascii="Old Standard" w:eastAsia="Times New Roman" w:hAnsi="Old Standard" w:cs="Calibri"/>
          <w:b/>
          <w:bCs/>
          <w:color w:val="980000"/>
          <w:sz w:val="28"/>
          <w:szCs w:val="28"/>
          <w:lang w:eastAsia="en-IN"/>
        </w:rPr>
        <w:t>Publisher’s Reaction </w:t>
      </w:r>
    </w:p>
    <w:p w14:paraId="612A583F" w14:textId="77777777" w:rsidR="00AD7C35" w:rsidRPr="005222CF" w:rsidRDefault="00AD7C35" w:rsidP="00AD7C35">
      <w:pPr>
        <w:spacing w:after="0"/>
        <w:rPr>
          <w:rFonts w:ascii="Old Standard" w:eastAsia="Times New Roman" w:hAnsi="Old Standard" w:cs="Times New Roman"/>
          <w:sz w:val="24"/>
          <w:szCs w:val="24"/>
          <w:lang w:eastAsia="en-IN"/>
        </w:rPr>
      </w:pPr>
    </w:p>
    <w:p w14:paraId="30885456" w14:textId="77777777" w:rsidR="00AD7C35" w:rsidRPr="00764346" w:rsidRDefault="00AD7C35" w:rsidP="00825F71">
      <w:pPr>
        <w:spacing w:after="0" w:line="360" w:lineRule="auto"/>
        <w:jc w:val="both"/>
        <w:rPr>
          <w:rFonts w:ascii="Old Standard" w:eastAsia="Times New Roman" w:hAnsi="Old Standard" w:cs="Times New Roman"/>
          <w:sz w:val="28"/>
          <w:szCs w:val="28"/>
          <w:lang w:eastAsia="en-IN"/>
        </w:rPr>
      </w:pPr>
      <w:r w:rsidRPr="00764346">
        <w:rPr>
          <w:rFonts w:ascii="Old Standard" w:eastAsia="Times New Roman" w:hAnsi="Old Standard" w:cs="Calibri"/>
          <w:color w:val="000000"/>
          <w:sz w:val="24"/>
          <w:szCs w:val="24"/>
          <w:lang w:eastAsia="en-IN"/>
        </w:rPr>
        <w:t xml:space="preserve">Welthungerhilfe alleges that the FAO's telephone-based opinion indicator was not used in the GHI. The index employed the FAO's undernourishment indicator, which is calculated using each country's Food Balance Sheet. The Food Balance Sheet depicts a comprehensive view of a country's food supply pattern during a certain </w:t>
      </w:r>
      <w:proofErr w:type="gramStart"/>
      <w:r w:rsidRPr="00764346">
        <w:rPr>
          <w:rFonts w:ascii="Old Standard" w:eastAsia="Times New Roman" w:hAnsi="Old Standard" w:cs="Calibri"/>
          <w:color w:val="000000"/>
          <w:sz w:val="24"/>
          <w:szCs w:val="24"/>
          <w:lang w:eastAsia="en-IN"/>
        </w:rPr>
        <w:t>time period</w:t>
      </w:r>
      <w:proofErr w:type="gramEnd"/>
      <w:r w:rsidRPr="00764346">
        <w:rPr>
          <w:rFonts w:ascii="Old Standard" w:eastAsia="Times New Roman" w:hAnsi="Old Standard" w:cs="Calibri"/>
          <w:color w:val="000000"/>
          <w:sz w:val="24"/>
          <w:szCs w:val="24"/>
          <w:lang w:eastAsia="en-IN"/>
        </w:rPr>
        <w:t xml:space="preserve">. It displays the sources of supply and usage for each food item, </w:t>
      </w:r>
      <w:proofErr w:type="gramStart"/>
      <w:r w:rsidRPr="00764346">
        <w:rPr>
          <w:rFonts w:ascii="Old Standard" w:eastAsia="Times New Roman" w:hAnsi="Old Standard" w:cs="Calibri"/>
          <w:color w:val="000000"/>
          <w:sz w:val="24"/>
          <w:szCs w:val="24"/>
          <w:lang w:eastAsia="en-IN"/>
        </w:rPr>
        <w:t>i.e.</w:t>
      </w:r>
      <w:proofErr w:type="gramEnd"/>
      <w:r w:rsidRPr="00764346">
        <w:rPr>
          <w:rFonts w:ascii="Old Standard" w:eastAsia="Times New Roman" w:hAnsi="Old Standard" w:cs="Calibri"/>
          <w:color w:val="000000"/>
          <w:sz w:val="24"/>
          <w:szCs w:val="24"/>
          <w:lang w:eastAsia="en-IN"/>
        </w:rPr>
        <w:t xml:space="preserve"> each primary commodity and a number of processed commodities potentially available for human consumption.</w:t>
      </w:r>
    </w:p>
    <w:p w14:paraId="79182CD9" w14:textId="77777777" w:rsidR="00AD7C35" w:rsidRPr="005222CF" w:rsidRDefault="00AD7C35" w:rsidP="00AD7C35">
      <w:pPr>
        <w:spacing w:after="0"/>
        <w:rPr>
          <w:rFonts w:ascii="Old Standard" w:eastAsia="Times New Roman" w:hAnsi="Old Standard" w:cs="Times New Roman"/>
          <w:sz w:val="24"/>
          <w:szCs w:val="24"/>
          <w:lang w:eastAsia="en-IN"/>
        </w:rPr>
      </w:pPr>
    </w:p>
    <w:p w14:paraId="31729EE3" w14:textId="77777777" w:rsidR="00AD7C35" w:rsidRPr="005222CF" w:rsidRDefault="00AD7C35" w:rsidP="00756FCC">
      <w:pPr>
        <w:rPr>
          <w:rFonts w:ascii="Old Standard" w:hAnsi="Old Standard"/>
        </w:rPr>
      </w:pPr>
    </w:p>
    <w:sectPr w:rsidR="00AD7C35" w:rsidRPr="005222C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9D098" w14:textId="77777777" w:rsidR="00F9296B" w:rsidRDefault="00F9296B" w:rsidP="000670A7">
      <w:pPr>
        <w:spacing w:after="0" w:line="240" w:lineRule="auto"/>
      </w:pPr>
      <w:r>
        <w:separator/>
      </w:r>
    </w:p>
  </w:endnote>
  <w:endnote w:type="continuationSeparator" w:id="0">
    <w:p w14:paraId="7FDBD6E0" w14:textId="77777777" w:rsidR="00F9296B" w:rsidRDefault="00F9296B"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FDFE4" w14:textId="77777777" w:rsidR="00F9296B" w:rsidRDefault="00F9296B" w:rsidP="000670A7">
      <w:pPr>
        <w:spacing w:after="0" w:line="240" w:lineRule="auto"/>
      </w:pPr>
      <w:r>
        <w:separator/>
      </w:r>
    </w:p>
  </w:footnote>
  <w:footnote w:type="continuationSeparator" w:id="0">
    <w:p w14:paraId="5304ACF5" w14:textId="77777777" w:rsidR="00F9296B" w:rsidRDefault="00F9296B"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0"/>
  </w:num>
  <w:num w:numId="4">
    <w:abstractNumId w:val="26"/>
  </w:num>
  <w:num w:numId="5">
    <w:abstractNumId w:val="12"/>
  </w:num>
  <w:num w:numId="6">
    <w:abstractNumId w:val="15"/>
  </w:num>
  <w:num w:numId="7">
    <w:abstractNumId w:val="3"/>
  </w:num>
  <w:num w:numId="8">
    <w:abstractNumId w:val="0"/>
  </w:num>
  <w:num w:numId="9">
    <w:abstractNumId w:val="6"/>
  </w:num>
  <w:num w:numId="10">
    <w:abstractNumId w:val="5"/>
  </w:num>
  <w:num w:numId="11">
    <w:abstractNumId w:val="18"/>
  </w:num>
  <w:num w:numId="12">
    <w:abstractNumId w:val="29"/>
  </w:num>
  <w:num w:numId="13">
    <w:abstractNumId w:val="21"/>
  </w:num>
  <w:num w:numId="14">
    <w:abstractNumId w:val="31"/>
  </w:num>
  <w:num w:numId="15">
    <w:abstractNumId w:val="2"/>
  </w:num>
  <w:num w:numId="16">
    <w:abstractNumId w:val="11"/>
  </w:num>
  <w:num w:numId="17">
    <w:abstractNumId w:val="28"/>
  </w:num>
  <w:num w:numId="18">
    <w:abstractNumId w:val="24"/>
  </w:num>
  <w:num w:numId="19">
    <w:abstractNumId w:val="16"/>
  </w:num>
  <w:num w:numId="20">
    <w:abstractNumId w:val="22"/>
  </w:num>
  <w:num w:numId="21">
    <w:abstractNumId w:val="17"/>
  </w:num>
  <w:num w:numId="22">
    <w:abstractNumId w:val="27"/>
  </w:num>
  <w:num w:numId="23">
    <w:abstractNumId w:val="19"/>
  </w:num>
  <w:num w:numId="24">
    <w:abstractNumId w:val="23"/>
  </w:num>
  <w:num w:numId="25">
    <w:abstractNumId w:val="25"/>
  </w:num>
  <w:num w:numId="26">
    <w:abstractNumId w:val="20"/>
  </w:num>
  <w:num w:numId="27">
    <w:abstractNumId w:val="1"/>
  </w:num>
  <w:num w:numId="28">
    <w:abstractNumId w:val="13"/>
  </w:num>
  <w:num w:numId="29">
    <w:abstractNumId w:va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232257"/>
    <w:rsid w:val="00233940"/>
    <w:rsid w:val="002621AD"/>
    <w:rsid w:val="002C69E0"/>
    <w:rsid w:val="002E5682"/>
    <w:rsid w:val="003137E6"/>
    <w:rsid w:val="00323879"/>
    <w:rsid w:val="00337F12"/>
    <w:rsid w:val="0034556D"/>
    <w:rsid w:val="003B057C"/>
    <w:rsid w:val="003F6A7A"/>
    <w:rsid w:val="004428CF"/>
    <w:rsid w:val="00445420"/>
    <w:rsid w:val="00453CE2"/>
    <w:rsid w:val="004B020A"/>
    <w:rsid w:val="004F2254"/>
    <w:rsid w:val="005222CF"/>
    <w:rsid w:val="00525A7D"/>
    <w:rsid w:val="00552912"/>
    <w:rsid w:val="005B5CBC"/>
    <w:rsid w:val="005E133C"/>
    <w:rsid w:val="005F6804"/>
    <w:rsid w:val="00603C04"/>
    <w:rsid w:val="00613B1D"/>
    <w:rsid w:val="00631224"/>
    <w:rsid w:val="00641BE5"/>
    <w:rsid w:val="006B4AE5"/>
    <w:rsid w:val="006C084D"/>
    <w:rsid w:val="007072AC"/>
    <w:rsid w:val="00732374"/>
    <w:rsid w:val="00756FCC"/>
    <w:rsid w:val="00764346"/>
    <w:rsid w:val="007967FF"/>
    <w:rsid w:val="007E0C54"/>
    <w:rsid w:val="008108E4"/>
    <w:rsid w:val="00817537"/>
    <w:rsid w:val="00825F71"/>
    <w:rsid w:val="00832811"/>
    <w:rsid w:val="008353A1"/>
    <w:rsid w:val="00852890"/>
    <w:rsid w:val="008D2352"/>
    <w:rsid w:val="008E3D2C"/>
    <w:rsid w:val="009208D5"/>
    <w:rsid w:val="00986301"/>
    <w:rsid w:val="009A11A1"/>
    <w:rsid w:val="009C2A5F"/>
    <w:rsid w:val="00A734F2"/>
    <w:rsid w:val="00AD7C35"/>
    <w:rsid w:val="00B650D1"/>
    <w:rsid w:val="00BA4FC1"/>
    <w:rsid w:val="00BE1964"/>
    <w:rsid w:val="00C13996"/>
    <w:rsid w:val="00C27440"/>
    <w:rsid w:val="00C361F6"/>
    <w:rsid w:val="00C51C4A"/>
    <w:rsid w:val="00C574C1"/>
    <w:rsid w:val="00C627CF"/>
    <w:rsid w:val="00C9738C"/>
    <w:rsid w:val="00D37DB6"/>
    <w:rsid w:val="00D44023"/>
    <w:rsid w:val="00D55C22"/>
    <w:rsid w:val="00DD1509"/>
    <w:rsid w:val="00DE473D"/>
    <w:rsid w:val="00E511E2"/>
    <w:rsid w:val="00EB6051"/>
    <w:rsid w:val="00EC2708"/>
    <w:rsid w:val="00ED1217"/>
    <w:rsid w:val="00EE267B"/>
    <w:rsid w:val="00F16F23"/>
    <w:rsid w:val="00F9010E"/>
    <w:rsid w:val="00F9296B"/>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shtiias.com/daily-updates/daily-news-analysis/42nd-session-of-fao-conference" TargetMode="External"/><Relationship Id="rId13" Type="http://schemas.openxmlformats.org/officeDocument/2006/relationships/hyperlink" Target="https://www.drishtiias.com/daily-updates/daily-news-analysis/state-of-food-security-and-nutrition-in-the-worl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rishtiias.com/important-institutions/drishti-specials-important-institutions-international-institution/world-bank-grou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ishtiias.com/important-institutions/drishti-specials-important-institutions-international-institution/world-health-organization-who" TargetMode="External"/><Relationship Id="rId5" Type="http://schemas.openxmlformats.org/officeDocument/2006/relationships/footnotes" Target="footnotes.xml"/><Relationship Id="rId15" Type="http://schemas.openxmlformats.org/officeDocument/2006/relationships/hyperlink" Target="https://www.drishtiias.com/daily-updates/daily-news-analysis/atmanirbhar-bharat-concerns" TargetMode="External"/><Relationship Id="rId10" Type="http://schemas.openxmlformats.org/officeDocument/2006/relationships/hyperlink" Target="https://www.drishtiias.com/important-institutions/drishti-specials-important-institutions-international-institution/unicef-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rishtiias.com/daily-updates/daily-news-analysis/un-report-on-child-mortality" TargetMode="External"/><Relationship Id="rId14" Type="http://schemas.openxmlformats.org/officeDocument/2006/relationships/hyperlink" Target="https://www.drishtiias.com/daily-updates/daily-news-analysis/pradhan-mantri-garib-kalyan-ann-yojan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11</cp:revision>
  <dcterms:created xsi:type="dcterms:W3CDTF">2021-11-03T06:26:00Z</dcterms:created>
  <dcterms:modified xsi:type="dcterms:W3CDTF">2021-11-09T12:26:00Z</dcterms:modified>
</cp:coreProperties>
</file>