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8E1E" w14:textId="006D6B26" w:rsidR="00D8573A" w:rsidRPr="005303EF" w:rsidRDefault="005303EF" w:rsidP="005303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3EF">
        <w:rPr>
          <w:rFonts w:ascii="Times New Roman" w:hAnsi="Times New Roman" w:cs="Times New Roman"/>
          <w:sz w:val="24"/>
          <w:szCs w:val="24"/>
        </w:rPr>
        <w:t>Тезисы</w:t>
      </w:r>
      <w:r w:rsidR="00D8573A" w:rsidRPr="005303EF">
        <w:rPr>
          <w:rFonts w:ascii="Times New Roman" w:hAnsi="Times New Roman" w:cs="Times New Roman"/>
          <w:sz w:val="24"/>
          <w:szCs w:val="24"/>
        </w:rPr>
        <w:t xml:space="preserve"> по проблемам электронного обучения, корпоративного электронного обучения (в контексте магистерской диссертации)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48CD52" w14:textId="5BC2C527" w:rsidR="00623B28" w:rsidRPr="005303EF" w:rsidRDefault="00623B28" w:rsidP="005303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3EF">
        <w:rPr>
          <w:rFonts w:ascii="Times New Roman" w:hAnsi="Times New Roman" w:cs="Times New Roman"/>
          <w:sz w:val="24"/>
          <w:szCs w:val="24"/>
        </w:rPr>
        <w:t>1. Электронное обучение является эффективным инструментом для повышения квалификации врачей в новой медицинской системе.</w:t>
      </w:r>
    </w:p>
    <w:p w14:paraId="3CF97BCF" w14:textId="77777777" w:rsidR="00623B28" w:rsidRPr="005303EF" w:rsidRDefault="00623B28" w:rsidP="005303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3EF">
        <w:rPr>
          <w:rFonts w:ascii="Times New Roman" w:hAnsi="Times New Roman" w:cs="Times New Roman"/>
          <w:sz w:val="24"/>
          <w:szCs w:val="24"/>
        </w:rPr>
        <w:t>2. Однако, корпоративное электронное обучение может не учитывать индивидуальные потребности каждого врача и ограничивать возможности обучения.</w:t>
      </w:r>
    </w:p>
    <w:p w14:paraId="4A0F96CE" w14:textId="77777777" w:rsidR="00623B28" w:rsidRPr="005303EF" w:rsidRDefault="00623B28" w:rsidP="005303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3EF">
        <w:rPr>
          <w:rFonts w:ascii="Times New Roman" w:hAnsi="Times New Roman" w:cs="Times New Roman"/>
          <w:sz w:val="24"/>
          <w:szCs w:val="24"/>
        </w:rPr>
        <w:t>3. Проблема недостаточной мотивации врачей для прохождения электронных курсов обучения может приводить к низкой эффективности обучения и неудовлетворительным результатам.</w:t>
      </w:r>
    </w:p>
    <w:p w14:paraId="5319382C" w14:textId="77777777" w:rsidR="00623B28" w:rsidRPr="005303EF" w:rsidRDefault="00623B28" w:rsidP="005303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3EF">
        <w:rPr>
          <w:rFonts w:ascii="Times New Roman" w:hAnsi="Times New Roman" w:cs="Times New Roman"/>
          <w:sz w:val="24"/>
          <w:szCs w:val="24"/>
        </w:rPr>
        <w:t>4. Важно учитывать особенности медицинского обучения, такие как необходимость практических навыков и доступность практических занятий для успешного освоения материала.</w:t>
      </w:r>
    </w:p>
    <w:p w14:paraId="6C2CAB5C" w14:textId="098CD9F0" w:rsidR="00623B28" w:rsidRPr="005303EF" w:rsidRDefault="00623B28" w:rsidP="005303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3EF">
        <w:rPr>
          <w:rFonts w:ascii="Times New Roman" w:hAnsi="Times New Roman" w:cs="Times New Roman"/>
          <w:sz w:val="24"/>
          <w:szCs w:val="24"/>
        </w:rPr>
        <w:t>5. Решение проблем электронного обучения врачей в новой медицинской системе требует комплексного подхода, включающего в себя адаптацию курсов обучения под потребности каждого врача, мотивационные методы и использование практических занятий.</w:t>
      </w:r>
    </w:p>
    <w:sectPr w:rsidR="00623B28" w:rsidRPr="00530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E4"/>
    <w:rsid w:val="00372227"/>
    <w:rsid w:val="003B60E4"/>
    <w:rsid w:val="005303EF"/>
    <w:rsid w:val="00623B28"/>
    <w:rsid w:val="00D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E721"/>
  <w15:chartTrackingRefBased/>
  <w15:docId w15:val="{3E546B00-AC44-4138-81E2-B6BDC0E3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4</cp:revision>
  <dcterms:created xsi:type="dcterms:W3CDTF">2023-06-10T07:38:00Z</dcterms:created>
  <dcterms:modified xsi:type="dcterms:W3CDTF">2023-06-13T19:02:00Z</dcterms:modified>
</cp:coreProperties>
</file>