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after="0"/>
        <w:jc w:val="left"/>
      </w:pPr>
      <w:r>
        <w:rPr>
          <w:rFonts w:ascii="Times New Roman" w:hAnsi="Times New Roman" w:eastAsia="Times New Roman"/>
          <w:b w:val="0"/>
          <w:i w:val="0"/>
          <w:sz w:val="24"/>
        </w:rPr>
        <w:t>УДК 004.8:004.912</w:t>
      </w:r>
    </w:p>
    <w:p>
      <w:pPr>
        <w:spacing w:line="240" w:lineRule="auto" w:after="0"/>
        <w:jc w:val="left"/>
      </w:pPr>
      <w:r>
        <w:rPr>
          <w:rFonts w:ascii="Times New Roman" w:hAnsi="Times New Roman" w:eastAsia="Times New Roman"/>
          <w:b w:val="0"/>
          <w:i w:val="0"/>
          <w:sz w:val="24"/>
        </w:rPr>
        <w:t>DOI: [будет присвоен редакцией]</w:t>
      </w:r>
    </w:p>
    <w:p>
      <w:pPr>
        <w:keepNext/>
        <w:spacing w:line="240" w:lineRule="auto" w:after="240" w:before="240"/>
        <w:jc w:val="center"/>
      </w:pPr>
      <w:r>
        <w:rPr>
          <w:rFonts w:ascii="Times New Roman" w:hAnsi="Times New Roman" w:eastAsia="Times New Roman"/>
          <w:b/>
          <w:i w:val="0"/>
          <w:sz w:val="32"/>
        </w:rPr>
        <w:t>Многоязычные данные для выбора фрагментов в научных текстах: подготовка, контроль качества и сравнительная оценка</w:t>
      </w:r>
    </w:p>
    <w:p>
      <w:pPr>
        <w:spacing w:line="240" w:lineRule="auto" w:after="120"/>
        <w:jc w:val="center"/>
      </w:pPr>
      <w:r>
        <w:rPr>
          <w:rFonts w:ascii="Times New Roman" w:hAnsi="Times New Roman" w:eastAsia="Times New Roman"/>
          <w:b/>
          <w:i w:val="0"/>
          <w:sz w:val="24"/>
        </w:rPr>
        <w:t>[Ф.И.О. автора]</w:t>
      </w:r>
      <w:r>
        <w:rPr>
          <w:rFonts w:ascii="Times New Roman" w:hAnsi="Times New Roman" w:eastAsia="Times New Roman"/>
          <w:b/>
          <w:i w:val="0"/>
          <w:sz w:val="24"/>
          <w:vertAlign w:val="superscript"/>
        </w:rPr>
        <w:t>1</w:t>
      </w:r>
      <w:r>
        <w:rPr>
          <w:rFonts w:ascii="Times New Roman" w:hAnsi="Times New Roman" w:eastAsia="Times New Roman"/>
          <w:b/>
          <w:i w:val="0"/>
          <w:sz w:val="24"/>
          <w:vertAlign w:val="superscript"/>
        </w:rPr>
        <w:t>*</w:t>
      </w:r>
    </w:p>
    <w:p>
      <w:pPr>
        <w:spacing w:line="240" w:lineRule="auto" w:after="120"/>
        <w:jc w:val="center"/>
      </w:pPr>
      <w:r>
        <w:rPr>
          <w:rFonts w:ascii="Times New Roman" w:hAnsi="Times New Roman" w:eastAsia="Times New Roman"/>
          <w:b w:val="0"/>
          <w:i/>
          <w:sz w:val="24"/>
          <w:vertAlign w:val="superscript"/>
        </w:rPr>
        <w:t>1</w:t>
      </w:r>
      <w:r>
        <w:rPr>
          <w:rFonts w:ascii="Times New Roman" w:hAnsi="Times New Roman" w:eastAsia="Times New Roman"/>
          <w:b w:val="0"/>
          <w:i/>
          <w:sz w:val="24"/>
        </w:rPr>
        <w:t>[Полное название организации], [город], [страна]</w:t>
      </w:r>
    </w:p>
    <w:p>
      <w:pPr>
        <w:spacing w:line="240" w:lineRule="auto" w:after="0" w:before="120"/>
        <w:jc w:val="both"/>
      </w:pPr>
      <w:r>
        <w:rPr>
          <w:rFonts w:ascii="Times New Roman" w:hAnsi="Times New Roman" w:eastAsia="Times New Roman"/>
          <w:b/>
          <w:i/>
          <w:sz w:val="24"/>
        </w:rPr>
        <w:t>Резюме.</w:t>
      </w:r>
      <w:r>
        <w:rPr>
          <w:rFonts w:ascii="Times New Roman" w:hAnsi="Times New Roman" w:eastAsia="Times New Roman"/>
          <w:b w:val="0"/>
          <w:i w:val="0"/>
          <w:sz w:val="24"/>
        </w:rPr>
        <w:t xml:space="preserve"> Работа посвящена формированию многоязычного набора сравнительных испытаний для выбора подтверждающего фрагмента внутри заданного научного документа. В единую схему сведены английские корпуса SciREX и SciER и русские корпуса RuSERRC и SciMDIX. Корпуса различаются языком, длиной документов, системой аспектов и плотностью разметки: SciER содержит полнотекстовые статьи, тогда как SciMDIX представлен научными аннотациями. Предложен воспроизводимый конвейер подготовки, включающий фиксацию версий источников и контрольных сумм, перенос точных границ разметки, языково-специфичное разбиение на перекрывающиеся фрагменты, формирование пяти вариантов вопроса для каждого аспекта, проверку возможности извлечения ответа и фильтрацию вероятных ложноотрицательных примеров. Для SciER сопоставлены фрагменты длиной 128 и 384 токена; для обучения использовались только примеры с подтверждённым положительным фрагментом, а остальные данные сохранялись для аудита. Итоговая оценка проведена на единых закрытых подвыборках с группировкой по документам и раздельным учётом ранее использовавшихся и не использовавшихся при разработке тестовых данных. Результаты показывают, что степень детализации разбиения изменяет возможность извлечения ответа и относительную эффективность методов выбора. На русском языке решающее влияние оказывает базовая ранжирующая модель, тогда как на английских полнотекстовых документах устойчиво полезны сигналы модели извлечения ответа.</w:t>
      </w:r>
    </w:p>
    <w:p>
      <w:pPr>
        <w:spacing w:line="240" w:lineRule="auto" w:after="0" w:before="120"/>
        <w:jc w:val="both"/>
      </w:pPr>
      <w:r>
        <w:rPr>
          <w:rFonts w:ascii="Times New Roman" w:hAnsi="Times New Roman" w:eastAsia="Times New Roman"/>
          <w:b/>
          <w:i/>
          <w:sz w:val="24"/>
        </w:rPr>
        <w:t>Ключевые слова:</w:t>
      </w:r>
      <w:r>
        <w:rPr>
          <w:rFonts w:ascii="Times New Roman" w:hAnsi="Times New Roman" w:eastAsia="Times New Roman"/>
          <w:b w:val="0"/>
          <w:i w:val="0"/>
          <w:sz w:val="24"/>
        </w:rPr>
        <w:t xml:space="preserve"> обработка естественного языка, научные тексты, выбор фрагмента, извлечение ответа, многоязычный корпус, сложные отрицательные примеры, сравнительная оценка, воспроизводимость.</w:t>
      </w:r>
    </w:p>
    <w:p>
      <w:pPr>
        <w:spacing w:line="240" w:lineRule="auto" w:after="0" w:before="12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after="0" w:before="120"/>
        <w:jc w:val="both"/>
      </w:pPr>
      <w:r>
        <w:rPr>
          <w:rFonts w:ascii="Times New Roman" w:hAnsi="Times New Roman" w:eastAsia="Times New Roman"/>
          <w:b/>
          <w:i/>
          <w:sz w:val="24"/>
        </w:rPr>
        <w:t>Для цитирования:</w:t>
      </w:r>
      <w:r>
        <w:rPr>
          <w:rFonts w:ascii="Times New Roman" w:hAnsi="Times New Roman" w:eastAsia="Times New Roman"/>
          <w:b w:val="0"/>
          <w:i w:val="0"/>
          <w:sz w:val="24"/>
        </w:rPr>
        <w:t xml:space="preserve"> [Фамилия И.О.] Многоязычные данные для выбора фрагментов в научных текстах: подготовка, контроль качества и сравнительная оценка. Моделирование, оптимизация и информационные технологии. 2026;14(*). DOI: [будет присвоен редакцией].</w:t>
      </w:r>
    </w:p>
    <w:p>
      <w:pPr>
        <w:keepNext/>
        <w:spacing w:line="240" w:lineRule="auto" w:after="240" w:before="240"/>
        <w:jc w:val="center"/>
      </w:pPr>
      <w:r>
        <w:rPr>
          <w:rFonts w:ascii="Times New Roman" w:hAnsi="Times New Roman" w:eastAsia="Times New Roman"/>
          <w:b/>
          <w:i w:val="0"/>
          <w:sz w:val="32"/>
          <w:lang w:val="en-US"/>
        </w:rPr>
        <w:t>Multilingual Data for Scientific-Text Fragment Selection: Preparation, Quality Control, and Comparative Evaluation</w:t>
      </w:r>
    </w:p>
    <w:p>
      <w:pPr>
        <w:spacing w:line="240" w:lineRule="auto" w:after="120"/>
        <w:jc w:val="center"/>
      </w:pPr>
      <w:r>
        <w:rPr>
          <w:rFonts w:ascii="Times New Roman" w:hAnsi="Times New Roman" w:eastAsia="Times New Roman"/>
          <w:b/>
          <w:i w:val="0"/>
          <w:sz w:val="24"/>
          <w:lang w:val="en-US"/>
        </w:rPr>
        <w:t>[Author full name]</w:t>
      </w:r>
      <w:r>
        <w:rPr>
          <w:rFonts w:ascii="Times New Roman" w:hAnsi="Times New Roman" w:eastAsia="Times New Roman"/>
          <w:b/>
          <w:i w:val="0"/>
          <w:sz w:val="24"/>
          <w:vertAlign w:val="superscript"/>
          <w:lang w:val="en-US"/>
        </w:rPr>
        <w:t>1</w:t>
      </w:r>
      <w:r>
        <w:rPr>
          <w:rFonts w:ascii="Times New Roman" w:hAnsi="Times New Roman" w:eastAsia="Times New Roman"/>
          <w:b/>
          <w:i w:val="0"/>
          <w:sz w:val="24"/>
          <w:vertAlign w:val="superscript"/>
          <w:lang w:val="en-US"/>
        </w:rPr>
        <w:t>*</w:t>
      </w:r>
    </w:p>
    <w:p>
      <w:pPr>
        <w:spacing w:line="240" w:lineRule="auto" w:after="120"/>
        <w:jc w:val="center"/>
      </w:pPr>
      <w:r>
        <w:rPr>
          <w:rFonts w:ascii="Times New Roman" w:hAnsi="Times New Roman" w:eastAsia="Times New Roman"/>
          <w:b w:val="0"/>
          <w:i/>
          <w:sz w:val="24"/>
          <w:vertAlign w:val="superscript"/>
          <w:lang w:val="en-US"/>
        </w:rPr>
        <w:t>1</w:t>
      </w:r>
      <w:r>
        <w:rPr>
          <w:rFonts w:ascii="Times New Roman" w:hAnsi="Times New Roman" w:eastAsia="Times New Roman"/>
          <w:b w:val="0"/>
          <w:i/>
          <w:sz w:val="24"/>
          <w:lang w:val="en-US"/>
        </w:rPr>
        <w:t>[Full organization name], [city], [country]</w:t>
      </w:r>
    </w:p>
    <w:p>
      <w:pPr>
        <w:spacing w:line="240" w:lineRule="auto" w:after="0" w:before="120"/>
        <w:jc w:val="both"/>
      </w:pPr>
      <w:r>
        <w:rPr>
          <w:rFonts w:ascii="Times New Roman" w:hAnsi="Times New Roman" w:eastAsia="Times New Roman"/>
          <w:b/>
          <w:i/>
          <w:sz w:val="24"/>
          <w:lang w:val="en-US"/>
        </w:rPr>
        <w:t>Abstract.</w:t>
      </w:r>
      <w:r>
        <w:rPr>
          <w:rFonts w:ascii="Times New Roman" w:hAnsi="Times New Roman" w:eastAsia="Times New Roman"/>
          <w:b w:val="0"/>
          <w:i w:val="0"/>
          <w:sz w:val="24"/>
          <w:lang w:val="en-US"/>
        </w:rPr>
        <w:t xml:space="preserve"> This study presents a multilingual evaluation suite for selecting supporting text fragments within a given scientific document. The unified setup covers the English SciREX and SciER corpora and the Russian RuSERRC and SciMDIX corpora. These resources differ in language, document length, aspect taxonomy, and annotation density: SciER contains full-text articles, whereas SciMDIX consists of scientific abstracts. We introduce a reproducible preparation workflow that freezes source revisions and checksums, preserves exact annotation boundaries, performs language-specific overlapping segmentation, stores five question formulations per aspect, verifies extractive answerability, and filters likely false-negative candidates. Two fragment granularities, 128 and 384 tokens, are evaluated for SciER. Training and grouped cross-validation use only instances with a reader-confirmed positive fragment, while all excluded instances remain available for audit. Final evaluation uses fixed held-out subsets, document-level grouping, and an explicit distinction between test data previously used during development and untouched test data. The results demonstrate that segmentation granularity changes both answerability and the relative effectiveness of selection strategies. Russian results are strongly determined by the quality of the base ranking model, while English full-text documents benefit more consistently from answer-extraction signals.</w:t>
      </w:r>
    </w:p>
    <w:p>
      <w:pPr>
        <w:spacing w:line="240" w:lineRule="auto" w:after="0" w:before="120"/>
        <w:jc w:val="both"/>
      </w:pPr>
      <w:r>
        <w:rPr>
          <w:rFonts w:ascii="Times New Roman" w:hAnsi="Times New Roman" w:eastAsia="Times New Roman"/>
          <w:b/>
          <w:i/>
          <w:sz w:val="24"/>
          <w:lang w:val="en-US"/>
        </w:rPr>
        <w:t>Keywords:</w:t>
      </w:r>
      <w:r>
        <w:rPr>
          <w:rFonts w:ascii="Times New Roman" w:hAnsi="Times New Roman" w:eastAsia="Times New Roman"/>
          <w:b w:val="0"/>
          <w:i w:val="0"/>
          <w:sz w:val="24"/>
          <w:lang w:val="en-US"/>
        </w:rPr>
        <w:t xml:space="preserve"> natural language processing, scientific texts, fragment selection, extractive question answering, multilingual corpus, hard negatives, comparative evaluation, reproducibility.</w:t>
      </w:r>
    </w:p>
    <w:p>
      <w:pPr>
        <w:spacing w:line="240" w:lineRule="auto" w:after="0" w:before="120"/>
        <w:jc w:val="both"/>
      </w:pPr>
      <w:r>
        <w:rPr>
          <w:rFonts w:ascii="Times New Roman" w:hAnsi="Times New Roman" w:eastAsia="Times New Roman"/>
          <w:b/>
          <w:i/>
          <w:sz w:val="24"/>
          <w:lang w:val="en-US"/>
        </w:rPr>
        <w:t>Acknowledgements:</w:t>
      </w:r>
      <w:r>
        <w:rPr>
          <w:rFonts w:ascii="Times New Roman" w:hAnsi="Times New Roman" w:eastAsia="Times New Roman"/>
          <w:b w:val="0"/>
          <w:i w:val="0"/>
          <w:sz w:val="24"/>
          <w:lang w:val="en-US"/>
        </w:rPr>
        <w:t xml:space="preserve"> [to be provided if applicable].</w:t>
      </w:r>
    </w:p>
    <w:p>
      <w:pPr>
        <w:spacing w:line="240" w:lineRule="auto" w:after="0" w:before="120"/>
        <w:jc w:val="both"/>
      </w:pPr>
      <w:r>
        <w:rPr>
          <w:rFonts w:ascii="Times New Roman" w:hAnsi="Times New Roman" w:eastAsia="Times New Roman"/>
          <w:b/>
          <w:i/>
          <w:sz w:val="24"/>
          <w:lang w:val="en-US"/>
        </w:rPr>
        <w:t>For citation:</w:t>
      </w:r>
      <w:r>
        <w:rPr>
          <w:rFonts w:ascii="Times New Roman" w:hAnsi="Times New Roman" w:eastAsia="Times New Roman"/>
          <w:b w:val="0"/>
          <w:i w:val="0"/>
          <w:sz w:val="24"/>
          <w:lang w:val="en-US"/>
        </w:rPr>
        <w:t xml:space="preserve"> [Author surname and initials]. Multilingual Data for Scientific-Text Fragment Selection: Preparation, Quality Control, and Comparative Evaluation. Modeling, Optimization and Information Technology. 2026;14(*). (In Russ.). DOI: [to be assigned].</w:t>
      </w:r>
    </w:p>
    <w:p>
      <w:pPr>
        <w:keepNext/>
        <w:spacing w:line="240" w:lineRule="auto" w:after="120" w:before="240"/>
        <w:jc w:val="center"/>
      </w:pPr>
      <w:r>
        <w:rPr>
          <w:rFonts w:ascii="Times New Roman" w:hAnsi="Times New Roman" w:eastAsia="Times New Roman"/>
          <w:b/>
          <w:i w:val="0"/>
          <w:sz w:val="24"/>
        </w:rPr>
        <w:t>Введение</w:t>
      </w:r>
    </w:p>
    <w:p>
      <w:pPr>
        <w:spacing w:line="240" w:lineRule="auto" w:after="0"/>
        <w:ind w:firstLine="709"/>
        <w:jc w:val="both"/>
      </w:pPr>
      <w:r>
        <w:rPr>
          <w:rFonts w:ascii="Times New Roman" w:hAnsi="Times New Roman" w:eastAsia="Times New Roman"/>
          <w:b w:val="0"/>
          <w:i w:val="0"/>
          <w:sz w:val="24"/>
        </w:rPr>
        <w:t>Объём научных публикаций растёт быстрее, чем возможности их ручного анализа. Для автоматического извлечения методов, задач, материалов, результатов и других содержательных аспектов система должна не только найти документ, но и определить внутри него фрагмент, достаточный для ответа на конкретный вопрос. Эта постановка отличается от поиска документов по коллекции: исходный документ известен заранее, а основные ошибки возникают при различении тематически близких фрагментов одного текста. Особенно сложны полнотекстовые статьи, где упоминания одной сущности распределены между аннотацией, описанием метода, экспериментальным разделом и таблицами.</w:t>
      </w:r>
    </w:p>
    <w:p>
      <w:pPr>
        <w:spacing w:line="240" w:lineRule="auto" w:after="0"/>
        <w:ind w:firstLine="709"/>
        <w:jc w:val="both"/>
      </w:pPr>
      <w:r>
        <w:rPr>
          <w:rFonts w:ascii="Times New Roman" w:hAnsi="Times New Roman" w:eastAsia="Times New Roman"/>
          <w:b w:val="0"/>
          <w:i w:val="0"/>
          <w:sz w:val="24"/>
        </w:rPr>
        <w:t>Существующие ресурсы для извлечения информации из научных текстов различаются единицами разметки и масштабом контекста. SciREX предназначен для извлечения информации на уровне полного документа и включает сущности типов «метод», «задача», «метрика» и «набор данных» [1]. RuSERRC содержит русскоязычные научно-технические тексты и разметку сущностей, отношений и аспектов [2, 3]. SciMDIX объединяет русские и казахские научные аннотации по четырём предметным областям и предоставляет отдельные слои аспектов, сущностей и отношений [4, 5]. SciER содержит 106 полнотекстовых статей, более 24 тыс. упоминаний сущностей и более 12 тыс. отношений, а также отдельную внераспределительную тестовую выборку [6]. Эти ресурсы нельзя механически объединить: аннотация и полный текст создают разные множества кандидатов, а одинаковая длина фрагмента по-разному влияет на русский и английский языки.</w:t>
      </w:r>
    </w:p>
    <w:p>
      <w:pPr>
        <w:spacing w:line="240" w:lineRule="auto" w:after="0"/>
        <w:ind w:firstLine="709"/>
        <w:jc w:val="both"/>
      </w:pPr>
      <w:r>
        <w:rPr>
          <w:rFonts w:ascii="Times New Roman" w:hAnsi="Times New Roman" w:eastAsia="Times New Roman"/>
          <w:b w:val="0"/>
          <w:i w:val="0"/>
          <w:sz w:val="24"/>
        </w:rPr>
        <w:t>При подготовке данных для выбора фрагмента недостаточно считать любой фрагмент без целевой метки отрицательным. Правильный ответ нередко подтверждается несколькими контекстами, поэтому тематически близкий фрагмент может быть альтернативным положительным примером [7, 8]. Кроме того, высокая семантическая близость не гарантирует возможности извлечь ответ [9]. Если такие случаи без проверки включить в сложные отрицательные примеры, ранжирующая модель получит противоречивое обучение. По этой причине в настоящей работе официальная разметка, результат модели извлечения ответа и семантическая фильтрация рассматриваются как разные источники информации.</w:t>
      </w:r>
    </w:p>
    <w:p>
      <w:pPr>
        <w:spacing w:line="240" w:lineRule="auto" w:after="0"/>
        <w:ind w:firstLine="709"/>
        <w:jc w:val="both"/>
      </w:pPr>
      <w:r>
        <w:rPr>
          <w:rFonts w:ascii="Times New Roman" w:hAnsi="Times New Roman" w:eastAsia="Times New Roman"/>
          <w:b w:val="0"/>
          <w:i w:val="0"/>
          <w:sz w:val="24"/>
        </w:rPr>
        <w:t>Второй источник несопоставимости связан с моделью извлечения ответа. Её уверенность, вычисленная отдельно для разных фрагментов, не всегда сопоставима между ними; это ограничение отмечалось и в работах по многофрагментным моделям ответа [10]. Следовательно, доля примеров с извлекаемым ответом является не абсолютным свойством корпуса, а результатом взаимодействия разметки, формулировки вопроса, длины фрагмента и используемой модели. Воспроизводимая оценка должна сохранять как включённые, так и исключённые примеры и явно фиксировать критерий включения.</w:t>
      </w:r>
    </w:p>
    <w:p>
      <w:pPr>
        <w:spacing w:line="240" w:lineRule="auto" w:after="0"/>
        <w:ind w:firstLine="709"/>
        <w:jc w:val="both"/>
      </w:pPr>
      <w:r>
        <w:rPr>
          <w:rFonts w:ascii="Times New Roman" w:hAnsi="Times New Roman" w:eastAsia="Times New Roman"/>
          <w:b w:val="0"/>
          <w:i w:val="0"/>
          <w:sz w:val="24"/>
        </w:rPr>
        <w:t>Цель исследования состоит в создании единого многоязычного протокола подготовки и оценки данных для выбора подтверждающего фрагмента в научных текстах. Решаются четыре задачи: 1) привести разнородные корпуса к общей структуре без утраты исходной разметки; 2) сформировать проверяемые положительные, сложные отрицательные и неоднозначные фрагменты; 3) оценить влияние степени детализации разбиения и языково-специфичных моделей; 4) провести единое итоговое сравнение базовых и предлагаемых систем на закрытых подвыборках. Отдельное внимание уделяется происхождению файлов, отсутствию пересечений между обучающими и тестовыми документами и различию между подтверждающими и апостериорными выводами.</w:t>
      </w:r>
    </w:p>
    <w:p>
      <w:pPr>
        <w:keepNext/>
        <w:spacing w:line="240" w:lineRule="auto" w:after="120" w:before="240"/>
        <w:jc w:val="center"/>
      </w:pPr>
      <w:r>
        <w:rPr>
          <w:rFonts w:ascii="Times New Roman" w:hAnsi="Times New Roman" w:eastAsia="Times New Roman"/>
          <w:b/>
          <w:i w:val="0"/>
          <w:sz w:val="24"/>
        </w:rPr>
        <w:t>Материалы и методы</w:t>
      </w:r>
    </w:p>
    <w:p>
      <w:pPr>
        <w:keepNext/>
        <w:spacing w:line="240" w:lineRule="auto" w:after="0" w:before="120"/>
        <w:jc w:val="left"/>
      </w:pPr>
      <w:r>
        <w:rPr>
          <w:rFonts w:ascii="Times New Roman" w:hAnsi="Times New Roman" w:eastAsia="Times New Roman"/>
          <w:b/>
          <w:i w:val="0"/>
          <w:sz w:val="24"/>
        </w:rPr>
        <w:t>Корпуса и единая схема подготовки</w:t>
      </w:r>
    </w:p>
    <w:p>
      <w:pPr>
        <w:spacing w:line="240" w:lineRule="auto" w:after="0"/>
        <w:ind w:firstLine="709"/>
        <w:jc w:val="both"/>
      </w:pPr>
      <w:r>
        <w:rPr>
          <w:rFonts w:ascii="Times New Roman" w:hAnsi="Times New Roman" w:eastAsia="Times New Roman"/>
          <w:b w:val="0"/>
          <w:i w:val="0"/>
          <w:sz w:val="24"/>
        </w:rPr>
        <w:t>Общая схема подготовки. Для каждого корпуса фиксировались адрес исходного репозитория, точный идентификатор версии, размер и контрольная сумма SHA-256 каждого исходного файла. После нормализации текста выполнялась языково-специфичная сегментация на предложения и детерминированное разбиение на перекрывающиеся фрагменты. Границы официальной разметки переносились в координаты нормализованного текста и фрагментов. Каждый сохранённый эталонный фрагмент проверялся точным сравнением с подстрокой исходного документа.</w:t>
      </w:r>
    </w:p>
    <w:p>
      <w:pPr>
        <w:spacing w:line="240" w:lineRule="auto" w:after="0"/>
        <w:ind w:firstLine="709"/>
        <w:jc w:val="both"/>
      </w:pPr>
      <w:r>
        <w:rPr>
          <w:rFonts w:ascii="Times New Roman" w:hAnsi="Times New Roman" w:eastAsia="Times New Roman"/>
          <w:b w:val="0"/>
          <w:i w:val="0"/>
          <w:sz w:val="24"/>
        </w:rPr>
        <w:t>Для каждого аспекта сохранялись пять формулировок вопроса. На первом этапе использовался основной вопрос, а в последующих экспериментах вариант вопроса мог выбираться только внутри обучающей части перекрёстной проверки. Модель извлечения ответа применялась ко всем кандидатным фрагментам. Положительным считался фрагмент, содержащий официальное подтверждение и позволяющий получить ответ, согласующийся с эталонной разметкой. Официально размеченный фрагмент, на котором модель не воспроизводила ответ, сохранялся в отдельном неоднозначном классе и не становился отрицательным.</w:t>
      </w:r>
    </w:p>
    <w:p>
      <w:pPr>
        <w:spacing w:line="240" w:lineRule="auto" w:after="0"/>
        <w:ind w:firstLine="709"/>
        <w:jc w:val="both"/>
      </w:pPr>
      <w:r>
        <w:rPr>
          <w:rFonts w:ascii="Times New Roman" w:hAnsi="Times New Roman" w:eastAsia="Times New Roman"/>
          <w:b w:val="0"/>
          <w:i w:val="0"/>
          <w:sz w:val="24"/>
        </w:rPr>
        <w:t>Формирование отрицательных примеров. Метод BM25 отбирал пять тематически близких отрицательных кандидатов. Затем кластеризация векторных представлений отделяла вероятные ложноотрицательные примеры. Подход следует общей идее очищенных сложных отрицательных примеров [7] и учитывает возможность нескольких допустимых подтверждающих контекстов [8]. Наличие разметки другого аспекта само по себе не служило основанием для присвоения класса сложного отрицательного фрагмента.</w:t>
      </w:r>
    </w:p>
    <w:p>
      <w:pPr>
        <w:spacing w:line="240" w:lineRule="auto" w:after="0"/>
        <w:ind w:firstLine="709"/>
        <w:jc w:val="both"/>
      </w:pPr>
      <w:r>
        <w:rPr>
          <w:rFonts w:ascii="Times New Roman" w:hAnsi="Times New Roman" w:eastAsia="Times New Roman"/>
          <w:b w:val="0"/>
          <w:i w:val="0"/>
          <w:sz w:val="24"/>
        </w:rPr>
        <w:t>В результате каждый фрагмент относился к одному из пяти классов: положительный фрагмент, подтверждённый моделью ответа; официальный подтверждающий фрагмент без успешного ответа модели; вероятный ложноотрицательный кандидат; сложный отрицательный фрагмент; простой отрицательный фрагмент. В обучение и перекрёстную проверку включались только вопросы, имевшие хотя бы один подтверждённый положительный фрагмент. Полная совокупность вопросов и служебных классов сохранялась в файлах аудита.</w:t>
      </w:r>
    </w:p>
    <w:p>
      <w:pPr>
        <w:keepNext/>
        <w:spacing w:line="240" w:lineRule="auto" w:after="0" w:before="240"/>
        <w:jc w:val="both"/>
      </w:pPr>
      <w:r>
        <w:rPr>
          <w:rFonts w:ascii="Times New Roman" w:hAnsi="Times New Roman" w:eastAsia="Times New Roman"/>
          <w:b w:val="0"/>
          <w:i w:val="0"/>
          <w:sz w:val="24"/>
        </w:rPr>
        <w:t>Таблица 1 - Корпуса и экспериментальные конфигурации</w:t>
      </w:r>
    </w:p>
    <w:p>
      <w:pPr>
        <w:keepNext/>
        <w:spacing w:line="240" w:lineRule="auto" w:after="120"/>
        <w:jc w:val="both"/>
      </w:pPr>
      <w:r>
        <w:rPr>
          <w:rFonts w:ascii="Times New Roman" w:hAnsi="Times New Roman" w:eastAsia="Times New Roman"/>
          <w:b w:val="0"/>
          <w:i w:val="0"/>
          <w:sz w:val="24"/>
          <w:lang w:val="en-US"/>
        </w:rPr>
        <w:t>Table 1 - Corpora and experimental configurations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814"/>
        <w:gridCol w:w="1814"/>
        <w:gridCol w:w="1814"/>
        <w:gridCol w:w="1814"/>
      </w:tblGrid>
      <w:tr>
        <w:trPr>
          <w:tblHeader w:val="true"/>
          <w:cantSplit/>
        </w:trPr>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Язык и тип документа</w:t>
            </w:r>
          </w:p>
        </w:tc>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Официальные части</w:t>
            </w:r>
          </w:p>
        </w:tc>
        <w:tc>
          <w:tcPr>
            <w:tcW w:type="dxa" w:w="175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Аспекты</w:t>
            </w:r>
          </w:p>
        </w:tc>
        <w:tc>
          <w:tcPr>
            <w:tcW w:type="dxa" w:w="170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Разбиение на фрагменты</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научные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официальные обучающая, проверочная и тестовая</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метод, задача, метрика, материал</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английская схема, до 384 токенов</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полные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384 токена, перекрытие 50</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английский, те же статьи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80/10/10/6 документов</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материал, метод, задача</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научно-технические тексты</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детерминированное разбиение</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9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языково-специфичная сегментация</w:t>
            </w:r>
          </w:p>
        </w:tc>
      </w:tr>
      <w:tr>
        <w:trPr>
          <w:cantSplit/>
        </w:trPr>
        <w:tc>
          <w:tcPr>
            <w:tcW w:type="dxa" w:w="1134"/>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русский, научные аннотации</w:t>
            </w:r>
          </w:p>
        </w:tc>
        <w:tc>
          <w:tcPr>
            <w:tcW w:type="dxa" w:w="141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186 обучающих, 20 тестовых</w:t>
            </w:r>
          </w:p>
        </w:tc>
        <w:tc>
          <w:tcPr>
            <w:tcW w:type="dxa" w:w="175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 аспектов</w:t>
            </w:r>
          </w:p>
        </w:tc>
        <w:tc>
          <w:tcPr>
            <w:tcW w:type="dxa" w:w="170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 токенов, перекрытие 24</w:t>
            </w:r>
          </w:p>
        </w:tc>
      </w:tr>
    </w:tbl>
    <w:p>
      <w:pPr>
        <w:spacing w:line="240" w:lineRule="auto" w:after="0"/>
        <w:ind w:firstLine="709"/>
        <w:jc w:val="both"/>
      </w:pPr>
      <w:r>
        <w:rPr>
          <w:rFonts w:ascii="Times New Roman" w:hAnsi="Times New Roman" w:eastAsia="Times New Roman"/>
          <w:b w:val="0"/>
          <w:i w:val="0"/>
          <w:sz w:val="24"/>
        </w:rPr>
        <w:t>Корпус SciREX. В исходной линии экспериментов использовались аспекты «метод», «задача», «метрика» и «материал». Историческая подготовка содержала 180 обучающих документов и 477 вопросов, из которых 303 имели подтверждённый положительный фрагмент. Калибровочная и выборка разработки включали соответственно 44 и 44 документа. Для итоговой оценки было заново сформировано официальное разбиение; его тестовая часть до фильтрации содержала 264 вопроса по 66 документам.</w:t>
      </w:r>
    </w:p>
    <w:p>
      <w:pPr>
        <w:spacing w:line="240" w:lineRule="auto" w:after="0"/>
        <w:ind w:firstLine="709"/>
        <w:jc w:val="both"/>
      </w:pPr>
      <w:r>
        <w:rPr>
          <w:rFonts w:ascii="Times New Roman" w:hAnsi="Times New Roman" w:eastAsia="Times New Roman"/>
          <w:b w:val="0"/>
          <w:i w:val="0"/>
          <w:sz w:val="24"/>
        </w:rPr>
        <w:t>Корпус RuSERRC. Полная локальная копия содержала 591 документ, из которых 587 имели хотя бы один из девяти аспектов: задача, цель, научный вклад, метод, инструмент, применение, преимущество, пример и вывод. Встроенная разметка удалялась с сохранением точных символьных позиций. Было сформировано 1979 общих фрагментов и 5319 аспектных примеров; 1994 примера удовлетворяли исходным требованиям отбора. Для русского языка использовались отдельные модель предложений и модель извлечения ответа. Пять русских формулировок вопроса были подготовлены для каждого аспекта.</w:t>
      </w:r>
    </w:p>
    <w:p>
      <w:pPr>
        <w:spacing w:line="240" w:lineRule="auto" w:after="0"/>
        <w:ind w:firstLine="709"/>
        <w:jc w:val="both"/>
      </w:pPr>
      <w:r>
        <w:rPr>
          <w:rFonts w:ascii="Times New Roman" w:hAnsi="Times New Roman" w:eastAsia="Times New Roman"/>
          <w:b w:val="0"/>
          <w:i w:val="0"/>
          <w:sz w:val="24"/>
        </w:rPr>
        <w:t>Корпус SciMDIX. Использовалась русская часть версии 69170fbdd15a4e19e247a9eb9554356d018b6f57 из репозитория tvbat/SciMDIX. Официальные метки AIM, MATERIAL, METHOD, RESULT, TASK, TOOL и USAGE были сопоставлены соответственно с целью, материалом, методом, результатом, задачей, инструментом и применением без объединения классов. Помимо аспектов сохранялись 6693 исходных упоминания сущностей и 2376 отношений. Корпус включает 186 обучающих и 20 тестовых аннотаций по информатике, лингвистике, медицине и психологии.</w:t>
      </w:r>
    </w:p>
    <w:p>
      <w:pPr>
        <w:spacing w:line="240" w:lineRule="auto" w:after="0"/>
        <w:ind w:firstLine="709"/>
        <w:jc w:val="both"/>
      </w:pPr>
      <w:r>
        <w:rPr>
          <w:rFonts w:ascii="Times New Roman" w:hAnsi="Times New Roman" w:eastAsia="Times New Roman"/>
          <w:b w:val="0"/>
          <w:i w:val="0"/>
          <w:sz w:val="24"/>
        </w:rPr>
        <w:t>Корпус SciER. Использовалась версия db347813de379eb200e0813bbfee350d67e7c701 исходного репозитория. Формат для предварительно обученных языковых моделей выбран потому, что он сохраняет токены на уровне документа, официальные границы предложений, точные границы сущностей и отношения. Типы Dataset, Method и Task были сопоставлены с материалом, методом и задачей. Официальные части содержат 80 обучающих, 10 проверочных, 10 тестовых и 6 внераспределительных тестовых статей.</w:t>
      </w:r>
    </w:p>
    <w:p>
      <w:pPr>
        <w:spacing w:line="240" w:lineRule="auto" w:after="0"/>
        <w:ind w:firstLine="709"/>
        <w:jc w:val="both"/>
      </w:pPr>
      <w:r>
        <w:rPr>
          <w:rFonts w:ascii="Times New Roman" w:hAnsi="Times New Roman" w:eastAsia="Times New Roman"/>
          <w:b w:val="0"/>
          <w:i w:val="0"/>
          <w:sz w:val="24"/>
        </w:rPr>
        <w:t>Для SciER независимо подготовлены два варианта разбиения: 128 токенов с перекрытием 24 токена и 384 токена с перекрытием 50 токенов. Первый вариант создаёт более детальное множество кандидатов, второй соответствует принятой английской схеме SciREX. Все последующие метки первого этапа пересчитывались заново; перенос меток между вариантами не выполнялся. Точные проверки показали, что различие числа примеров с извлекаемым ответом обусловлено степенью детализации, а не потерей официальных упоминаний.</w:t>
      </w:r>
    </w:p>
    <w:p>
      <w:pPr>
        <w:keepNext/>
        <w:spacing w:line="240" w:lineRule="auto" w:after="0" w:before="240"/>
        <w:jc w:val="both"/>
      </w:pPr>
      <w:r>
        <w:rPr>
          <w:rFonts w:ascii="Times New Roman" w:hAnsi="Times New Roman" w:eastAsia="Times New Roman"/>
          <w:b w:val="0"/>
          <w:i w:val="0"/>
          <w:sz w:val="24"/>
        </w:rPr>
        <w:t>Таблица 2 - Основные показатели подготовки новых корпусов</w:t>
      </w:r>
    </w:p>
    <w:p>
      <w:pPr>
        <w:keepNext/>
        <w:spacing w:line="240" w:lineRule="auto" w:after="120"/>
        <w:jc w:val="both"/>
      </w:pPr>
      <w:r>
        <w:rPr>
          <w:rFonts w:ascii="Times New Roman" w:hAnsi="Times New Roman" w:eastAsia="Times New Roman"/>
          <w:b w:val="0"/>
          <w:i w:val="0"/>
          <w:sz w:val="24"/>
          <w:lang w:val="en-US"/>
        </w:rPr>
        <w:t>Table 2 - Main preparation statistics for the new corpora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2835"/>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Показатель</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128/24</w:t>
            </w:r>
          </w:p>
        </w:tc>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 384/50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Документы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106</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4806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1101</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Медиана фрагментов на документ</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Обучающие аспектные примеры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1001</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239</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Примеры с извлекаемым ответом</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235</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225</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Положительные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287</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4496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1263</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Сложные отрицательные фрагменты</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393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Официальные упоминания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2129</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24518</w:t>
            </w:r>
          </w:p>
        </w:tc>
      </w:tr>
      <w:tr>
        <w:trPr>
          <w:cantSplit/>
        </w:trPr>
        <w:tc>
          <w:tcPr>
            <w:tcW w:type="dxa" w:w="2835"/>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Сохранённые отношения</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2376</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c>
          <w:tcPr>
            <w:tcW w:type="dxa" w:w="153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12083</w:t>
            </w:r>
          </w:p>
        </w:tc>
      </w:tr>
    </w:tbl>
    <w:p>
      <w:pPr>
        <w:keepNext/>
        <w:spacing w:line="240" w:lineRule="auto" w:after="0" w:before="120"/>
        <w:jc w:val="left"/>
      </w:pPr>
      <w:r>
        <w:rPr>
          <w:rFonts w:ascii="Times New Roman" w:hAnsi="Times New Roman" w:eastAsia="Times New Roman"/>
          <w:b/>
          <w:i w:val="0"/>
          <w:sz w:val="24"/>
        </w:rPr>
        <w:t>Разбиения, сравниваемые системы и метрики</w:t>
      </w:r>
    </w:p>
    <w:p>
      <w:pPr>
        <w:spacing w:line="240" w:lineRule="auto" w:after="0"/>
        <w:ind w:firstLine="709"/>
        <w:jc w:val="both"/>
      </w:pPr>
      <w:r>
        <w:rPr>
          <w:rFonts w:ascii="Times New Roman" w:hAnsi="Times New Roman" w:eastAsia="Times New Roman"/>
          <w:b w:val="0"/>
          <w:i w:val="0"/>
          <w:sz w:val="24"/>
        </w:rPr>
        <w:t>Разбиения и защита от утечки. Обучающие блоки перекрёстной проверки формировались с группировкой по исходным документам. Документ не мог одновременно участвовать в обучении и оценке одного запуска. Официальные тестовые части SciER и SciMDIX сохранялись закрытыми до итогового эксперимента. Для RuSERRC, не имеющего официальной тестовой части в используемой аспектной подготовке, применялось детерминированное отложенное разбиение по документам. Перед расчётом итоговых метрик все системы сформировали слепые предсказания для полной тестовой совокупности, после чего единый фильтр по эталонной разметке выделил подвыборку с извлекаемыми ответами.</w:t>
      </w:r>
    </w:p>
    <w:p>
      <w:pPr>
        <w:spacing w:line="240" w:lineRule="auto" w:after="0"/>
        <w:ind w:firstLine="709"/>
        <w:jc w:val="both"/>
      </w:pPr>
      <w:r>
        <w:rPr>
          <w:rFonts w:ascii="Times New Roman" w:hAnsi="Times New Roman" w:eastAsia="Times New Roman"/>
          <w:b w:val="0"/>
          <w:i w:val="0"/>
          <w:sz w:val="24"/>
        </w:rPr>
        <w:t>Проверка предшествующего использования тестовых данных выполнялась по идентификаторам, нормализованным текстам и DOI. SciREX, обе конфигурации SciER и SciMDIX не встречались в исторических оценочных файлах V1-V10 и рассматриваются как не использовавшиеся при разработке. RuSERRC встречался в прежних экспериментах и поэтому отмечается как ранее использовавшийся. Конфигурации SciER-128 и SciER-384 построены из одних документов; при сводном усреднении они сначала объединяются в одно семейство и не получают двойного веса.</w:t>
      </w:r>
    </w:p>
    <w:p>
      <w:pPr>
        <w:keepNext/>
        <w:spacing w:line="240" w:lineRule="auto" w:after="0" w:before="240"/>
        <w:jc w:val="both"/>
      </w:pPr>
      <w:r>
        <w:rPr>
          <w:rFonts w:ascii="Times New Roman" w:hAnsi="Times New Roman" w:eastAsia="Times New Roman"/>
          <w:b w:val="0"/>
          <w:i w:val="0"/>
          <w:sz w:val="24"/>
        </w:rPr>
        <w:t>Таблица 3 - Состав итоговой тестовой оценки</w:t>
      </w:r>
    </w:p>
    <w:p>
      <w:pPr>
        <w:keepNext/>
        <w:spacing w:line="240" w:lineRule="auto" w:after="120"/>
        <w:jc w:val="both"/>
      </w:pPr>
      <w:r>
        <w:rPr>
          <w:rFonts w:ascii="Times New Roman" w:hAnsi="Times New Roman" w:eastAsia="Times New Roman"/>
          <w:b w:val="0"/>
          <w:i w:val="0"/>
          <w:sz w:val="24"/>
          <w:lang w:val="en-US"/>
        </w:rPr>
        <w:t>Table 3 - Composition of the final test evaluation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268"/>
        <w:gridCol w:w="2268"/>
        <w:gridCol w:w="2268"/>
      </w:tblGrid>
      <w:tr>
        <w:trPr>
          <w:tblHeader w:val="true"/>
          <w:cantSplit/>
        </w:trPr>
        <w:tc>
          <w:tcPr>
            <w:tcW w:type="dxa" w:w="124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Слепые предсказания</w:t>
            </w:r>
          </w:p>
        </w:tc>
        <w:tc>
          <w:tcPr>
            <w:tcW w:type="dxa" w:w="181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Итоговая оценка</w:t>
            </w:r>
          </w:p>
        </w:tc>
        <w:tc>
          <w:tcPr>
            <w:tcW w:type="dxa" w:w="255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Статус до итогового опыта</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264 вопроса, 66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182 вопроса, 63 документа</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30 вопросов, 10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 вопросов, 60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ранее использовалась</w:t>
            </w:r>
          </w:p>
        </w:tc>
      </w:tr>
      <w:tr>
        <w:trPr>
          <w:cantSplit/>
        </w:trPr>
        <w:tc>
          <w:tcPr>
            <w:tcW w:type="dxa" w:w="124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121 вопрос, 20 документов</w:t>
            </w:r>
          </w:p>
        </w:tc>
        <w:tc>
          <w:tcPr>
            <w:tcW w:type="dxa" w:w="181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28 вопросов, 17 документов</w:t>
            </w:r>
          </w:p>
        </w:tc>
        <w:tc>
          <w:tcPr>
            <w:tcW w:type="dxa" w:w="2551"/>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 использовалась при разработке</w:t>
            </w:r>
          </w:p>
        </w:tc>
      </w:tr>
    </w:tbl>
    <w:p>
      <w:pPr>
        <w:spacing w:line="240" w:lineRule="auto" w:after="0"/>
        <w:ind w:firstLine="709"/>
        <w:jc w:val="both"/>
      </w:pPr>
      <w:r>
        <w:rPr>
          <w:rFonts w:ascii="Times New Roman" w:hAnsi="Times New Roman" w:eastAsia="Times New Roman"/>
          <w:b w:val="0"/>
          <w:i w:val="0"/>
          <w:sz w:val="24"/>
        </w:rPr>
        <w:t>Сравниваемые системы. B1 применяет модель извлечения ответа ко всем фрагментам и выбирает ответ с максимальной уверенностью. B2 использует первый фрагмент базовой ранжирующей модели. B3 читает K лучших фрагментов B0 и выбирает максимальную уверенность. B4a и B4b используют внешнюю BGE-модель для одного или нескольких кандидатов. P2 соответствует безопасной метамодели H2, раздельно прогнозирующей ожидаемый выигрыш и риск ухудшения при переключении. P4 добавляет признаки согласованности ответов. Итоговый вариант использует единое для корпуса правило согласованности между выбором ветви на обучающей выборке и после повторного обучения на объединённых обучающей и проверочной выборках.</w:t>
      </w:r>
    </w:p>
    <w:p>
      <w:pPr>
        <w:spacing w:line="240" w:lineRule="auto" w:after="0"/>
        <w:ind w:firstLine="709"/>
        <w:jc w:val="both"/>
      </w:pPr>
      <w:r>
        <w:rPr>
          <w:rFonts w:ascii="Times New Roman" w:hAnsi="Times New Roman" w:eastAsia="Times New Roman"/>
          <w:b w:val="0"/>
          <w:i w:val="0"/>
          <w:sz w:val="24"/>
        </w:rPr>
        <w:t>Основной метрикой служит F1 по токенам в шкале 0-100. Дополнительно вычислялись точное совпадение, F1 по символам, ROUGE-L, а для русских данных - F1 по леммам. Качество выбора подтверждения оценивалось долей попаданий на первой позиции и среди K лучших, а также долей сложных отрицательных фрагментов на первой позиции. Для парных сравнений применялось бутстреп-оценивание на уровне документов с 10 000 повторов. Прогнозы трёх фиксированных инициализаций сначала усреднялись внутри вопроса. Две конфигурации SciER пересчитывались по одному и тому же набору выбранных документов.</w:t>
      </w:r>
    </w:p>
    <w:p>
      <w:pPr>
        <w:spacing w:line="240" w:lineRule="auto" w:after="0"/>
        <w:ind w:firstLine="709"/>
        <w:jc w:val="both"/>
      </w:pPr>
      <w:r>
        <w:rPr>
          <w:rFonts w:ascii="Times New Roman" w:hAnsi="Times New Roman" w:eastAsia="Times New Roman"/>
          <w:b w:val="0"/>
          <w:i w:val="0"/>
          <w:sz w:val="24"/>
        </w:rPr>
        <w:t>Сводная оценка ALL_STANDARDIZED вычислялась в два этапа: сначала усреднялись SciER-128 и SciER-384, затем равный вес получали четыре семейства - SciREX, SciER, RuSERRC и SciMDIX. Такой порядок предотвращает искусственное удвоение вклада SciER.</w:t>
      </w:r>
    </w:p>
    <w:p>
      <w:pPr>
        <w:keepNext/>
        <w:spacing w:line="240" w:lineRule="auto" w:after="120" w:before="240"/>
        <w:jc w:val="center"/>
      </w:pPr>
      <w:r>
        <w:rPr>
          <w:rFonts w:ascii="Times New Roman" w:hAnsi="Times New Roman" w:eastAsia="Times New Roman"/>
          <w:b/>
          <w:i w:val="0"/>
          <w:sz w:val="24"/>
        </w:rPr>
        <w:t>Результаты</w:t>
      </w:r>
    </w:p>
    <w:p>
      <w:pPr>
        <w:keepNext/>
        <w:spacing w:line="240" w:lineRule="auto" w:after="0" w:before="120"/>
        <w:jc w:val="left"/>
      </w:pPr>
      <w:r>
        <w:rPr>
          <w:rFonts w:ascii="Times New Roman" w:hAnsi="Times New Roman" w:eastAsia="Times New Roman"/>
          <w:b/>
          <w:i w:val="0"/>
          <w:sz w:val="24"/>
        </w:rPr>
        <w:t>Результаты подготовки данных</w:t>
      </w:r>
    </w:p>
    <w:p>
      <w:pPr>
        <w:spacing w:line="240" w:lineRule="auto" w:after="0"/>
        <w:ind w:firstLine="709"/>
        <w:jc w:val="both"/>
      </w:pPr>
      <w:r>
        <w:rPr>
          <w:rFonts w:ascii="Times New Roman" w:hAnsi="Times New Roman" w:eastAsia="Times New Roman"/>
          <w:b w:val="0"/>
          <w:i w:val="0"/>
          <w:sz w:val="24"/>
        </w:rPr>
        <w:t>Подготовка корпусов завершилась без ошибок базовой проверки. Для SciMDIX получено 1083 фрагмента; медиана составила пять фрагментов на документ, диапазон - от 2 до 13. Из 1122 аспектных примеров 213 имели подтверждённый положительный фрагмент. В обучающей части таких примеров было 185 из 1001; они происходили из 125 документов. Низкая доля не связана с нарушением границ разметки: 1829 фрагментов содержали официальное подтверждение, но текущая модель не смогла получить согласованный ответ. Эти случаи сохранены как неоднозначные.</w:t>
      </w:r>
    </w:p>
    <w:p>
      <w:pPr>
        <w:spacing w:line="240" w:lineRule="auto" w:after="0"/>
        <w:ind w:firstLine="709"/>
        <w:jc w:val="both"/>
      </w:pPr>
      <w:r>
        <w:rPr>
          <w:rFonts w:ascii="Times New Roman" w:hAnsi="Times New Roman" w:eastAsia="Times New Roman"/>
          <w:b w:val="0"/>
          <w:i w:val="0"/>
          <w:sz w:val="24"/>
        </w:rPr>
        <w:t>Для SciER вариант 128/24 создал 4806 фрагментов с медианой 42 фрагмента на статью, а вариант 384/50 - 1101 фрагмент с медианой 10. При более детальном разбиении 235 из 239 обучающих вопросов имели подтверждённый положительный фрагмент; при 384/50 - 225. Во всех официальных частях число таких примеров составило соответственно 310 и 295. Разница возникла при неизменных 24 518 упоминаниях сущностей и 12 083 отношениях.</w:t>
      </w:r>
    </w:p>
    <w:p>
      <w:pPr>
        <w:spacing w:line="240" w:lineRule="auto" w:after="0"/>
        <w:ind w:firstLine="709"/>
        <w:jc w:val="both"/>
      </w:pPr>
      <w:r>
        <w:rPr>
          <w:rFonts w:ascii="Times New Roman" w:hAnsi="Times New Roman" w:eastAsia="Times New Roman"/>
          <w:b w:val="0"/>
          <w:i w:val="0"/>
          <w:sz w:val="24"/>
        </w:rPr>
        <w:t>В RuSERRC сформировано 917 положительных, 860 сложных отрицательных, 2474 простых отрицательных и 493 вероятных ложноотрицательных фрагмента. Ещё 2778 фрагментов содержали официальное подтверждение, но не дали успешного ответа модели. В исторической обучающей части 410 из 1190 вопросов имели подтверждённый положительный фрагмент; наибольшую частоту имел аспект научного вклада, наименьшую - цель.</w:t>
      </w:r>
    </w:p>
    <w:p>
      <w:pPr>
        <w:keepNext/>
        <w:spacing w:line="240" w:lineRule="auto" w:after="0" w:before="120"/>
        <w:jc w:val="left"/>
      </w:pPr>
      <w:r>
        <w:rPr>
          <w:rFonts w:ascii="Times New Roman" w:hAnsi="Times New Roman" w:eastAsia="Times New Roman"/>
          <w:b/>
          <w:i w:val="0"/>
          <w:sz w:val="24"/>
        </w:rPr>
        <w:t>Итоговое сравнение систем</w:t>
      </w:r>
    </w:p>
    <w:p>
      <w:pPr>
        <w:keepNext/>
        <w:spacing w:line="240" w:lineRule="auto" w:after="0" w:before="240"/>
        <w:jc w:val="both"/>
      </w:pPr>
      <w:r>
        <w:rPr>
          <w:rFonts w:ascii="Times New Roman" w:hAnsi="Times New Roman" w:eastAsia="Times New Roman"/>
          <w:b w:val="0"/>
          <w:i w:val="0"/>
          <w:sz w:val="24"/>
        </w:rPr>
        <w:t>Таблица 4 - F1 по токенам в итоговом сравнении</w:t>
      </w:r>
    </w:p>
    <w:p>
      <w:pPr>
        <w:keepNext/>
        <w:spacing w:line="240" w:lineRule="auto" w:after="120"/>
        <w:jc w:val="both"/>
      </w:pPr>
      <w:r>
        <w:rPr>
          <w:rFonts w:ascii="Times New Roman" w:hAnsi="Times New Roman" w:eastAsia="Times New Roman"/>
          <w:b w:val="0"/>
          <w:i w:val="0"/>
          <w:sz w:val="24"/>
          <w:lang w:val="en-US"/>
        </w:rPr>
        <w:t>Table 4 - Token-level F1 in the final comparison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296"/>
        <w:gridCol w:w="1296"/>
        <w:gridCol w:w="1296"/>
        <w:gridCol w:w="1296"/>
        <w:gridCol w:w="1296"/>
        <w:gridCol w:w="1296"/>
      </w:tblGrid>
      <w:tr>
        <w:trPr>
          <w:tblHeader w:val="true"/>
          <w:cantSplit/>
        </w:trPr>
        <w:tc>
          <w:tcPr>
            <w:tcW w:type="dxa" w:w="141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Система</w:t>
            </w:r>
          </w:p>
        </w:tc>
        <w:tc>
          <w:tcPr>
            <w:tcW w:type="dxa" w:w="96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SciREX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SciER-384</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SciER-128</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RuSERRC</w:t>
            </w:r>
          </w:p>
        </w:tc>
        <w:tc>
          <w:tcPr>
            <w:tcW w:type="dxa" w:w="1020"/>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SciMDIX</w:t>
            </w:r>
          </w:p>
        </w:tc>
        <w:tc>
          <w:tcPr>
            <w:tcW w:type="dxa" w:w="1077"/>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Сводная</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B1</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14,7732</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56,0738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65,4365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56,5473</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33,2485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41,3310</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24,0979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63,6773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69,3381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65,6714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52,6723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52,2373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19,0955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63,2028</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73,1368</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58,2139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38,7216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46,0502</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B4b</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18,4645</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60,8589</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56,1772</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56,6114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36,8576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42,6129</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P2 / H2</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23,8234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65,8721</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70,5551</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65,9369</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55,2003</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P4 / H3</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59,2560</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55,9674</w:t>
            </w:r>
          </w:p>
        </w:tc>
      </w:tr>
      <w:tr>
        <w:trPr>
          <w:cantSplit/>
        </w:trPr>
        <w:tc>
          <w:tcPr>
            <w:tcW w:type="dxa" w:w="1417"/>
            <w:vAlign w:val="center"/>
            <w:tcMar>
              <w:top w:w="60" w:type="dxa"/>
              <w:start w:w="80" w:type="dxa"/>
              <w:bottom w:w="60" w:type="dxa"/>
              <w:end w:w="80" w:type="dxa"/>
            </w:tcMar>
          </w:tcPr>
          <w:p>
            <w:pPr>
              <w:spacing w:after="0" w:line="240" w:lineRule="auto"/>
              <w:jc w:val="left"/>
            </w:pPr>
            <w:r>
              <w:rPr>
                <w:rFonts w:ascii="Times New Roman" w:hAnsi="Times New Roman" w:eastAsia="Times New Roman"/>
                <w:b/>
                <w:i w:val="0"/>
                <w:sz w:val="18"/>
              </w:rPr>
              <w:t>Итоговая</w:t>
            </w:r>
          </w:p>
        </w:tc>
        <w:tc>
          <w:tcPr>
            <w:tcW w:type="dxa" w:w="964"/>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26,0253</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72,0436</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72,7105</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66,2114</w:t>
            </w:r>
          </w:p>
        </w:tc>
        <w:tc>
          <w:tcPr>
            <w:tcW w:type="dxa" w:w="1020"/>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62,8274</w:t>
            </w:r>
          </w:p>
        </w:tc>
        <w:tc>
          <w:tcPr>
            <w:tcW w:type="dxa" w:w="1077"/>
            <w:vAlign w:val="center"/>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56,8603</w:t>
            </w:r>
          </w:p>
        </w:tc>
      </w:tr>
    </w:tbl>
    <w:p>
      <w:pPr>
        <w:spacing w:line="240" w:lineRule="auto" w:after="0"/>
        <w:ind w:firstLine="709"/>
        <w:jc w:val="both"/>
      </w:pPr>
      <w:r>
        <w:rPr>
          <w:rFonts w:ascii="Times New Roman" w:hAnsi="Times New Roman" w:eastAsia="Times New Roman"/>
          <w:b w:val="0"/>
          <w:i w:val="0"/>
          <w:sz w:val="24"/>
        </w:rPr>
        <w:t>На итоговой тестовой оценке лучший метод зависел от экспериментальной конфигурации. Итоговая система с правилом согласованности получила стандартизованную сводную оценку 56,8603 и воспроизвела P4 на SciREX, обеих конфигурациях SciER и RuSERRC, но выбрала P2 на SciMDIX. На SciER-128 простая система B3 достигла 73,1368 и немного превзошла итоговую систему с 72,7105. Следовательно, универсального преимущества на каждой отдельной конфигурации не наблюдается.</w:t>
      </w:r>
    </w:p>
    <w:p>
      <w:pPr>
        <w:spacing w:line="240" w:lineRule="auto" w:after="0"/>
        <w:ind w:firstLine="709"/>
        <w:jc w:val="both"/>
      </w:pPr>
      <w:r>
        <w:rPr>
          <w:rFonts w:ascii="Times New Roman" w:hAnsi="Times New Roman" w:eastAsia="Times New Roman"/>
          <w:b w:val="0"/>
          <w:i w:val="0"/>
          <w:sz w:val="24"/>
        </w:rPr>
        <w:t>P2 надёжно превосходил чтение всех фрагментов B1: сводная парная разность составила 13,8693 пункта, 95%-й доверительный интервал [6,5616; 20,2619]. Преимущество над внешней BGE-моделью B4b также было подтверждено: 12,5875 [4,5025; 19,3205]. Разность с B2 составила 2,9630 пункта, но интервал [−0,8578; 6,9570] включал ноль. Поэтому корректный вывод ограничивается преимуществом над B1 и B4b, а не над всеми базовыми системами.</w:t>
      </w:r>
    </w:p>
    <w:p>
      <w:pPr>
        <w:spacing w:line="240" w:lineRule="auto" w:after="0"/>
        <w:ind w:firstLine="709"/>
        <w:jc w:val="both"/>
      </w:pPr>
      <w:r>
        <w:rPr>
          <w:rFonts w:ascii="Times New Roman" w:hAnsi="Times New Roman" w:eastAsia="Times New Roman"/>
          <w:b w:val="0"/>
          <w:i w:val="0"/>
          <w:sz w:val="24"/>
        </w:rPr>
        <w:t>Качество выбора подтверждающего фрагмента и качество ответа не всегда изменялись синхронно. На SciMDIX P2 повысил долю попаданий на первой позиции с 0,3929 до 0,5357, а на SciER-128 - с 0,6000 до 0,7000. На RuSERRC эта доля снизилась с 0,7000 до 0,6900, хотя F1 по токенам немного вырос. Это подтверждает, что бинарного признака наличия официального подтверждения недостаточно для описания полезности фрагмента конкретной модели ответа.</w:t>
      </w:r>
    </w:p>
    <w:p>
      <w:pPr>
        <w:keepNext/>
        <w:spacing w:line="240" w:lineRule="auto" w:after="0" w:before="240"/>
        <w:jc w:val="both"/>
      </w:pPr>
      <w:r>
        <w:rPr>
          <w:rFonts w:ascii="Times New Roman" w:hAnsi="Times New Roman" w:eastAsia="Times New Roman"/>
          <w:b w:val="0"/>
          <w:i w:val="0"/>
          <w:sz w:val="24"/>
        </w:rPr>
        <w:t>Таблица 5 - Качество выбора подтверждающего фрагмента системой P2</w:t>
      </w:r>
    </w:p>
    <w:p>
      <w:pPr>
        <w:keepNext/>
        <w:spacing w:line="240" w:lineRule="auto" w:after="120"/>
        <w:jc w:val="both"/>
      </w:pPr>
      <w:r>
        <w:rPr>
          <w:rFonts w:ascii="Times New Roman" w:hAnsi="Times New Roman" w:eastAsia="Times New Roman"/>
          <w:b w:val="0"/>
          <w:i w:val="0"/>
          <w:sz w:val="24"/>
          <w:lang w:val="en-US"/>
        </w:rPr>
        <w:t>Table 5 - Supporting-fragment selection quality of P2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1512"/>
        <w:gridCol w:w="1512"/>
        <w:gridCol w:w="1512"/>
        <w:gridCol w:w="1512"/>
      </w:tblGrid>
      <w:tr>
        <w:trPr>
          <w:tblHeader w:val="true"/>
          <w:cantSplit/>
        </w:trPr>
        <w:tc>
          <w:tcPr>
            <w:tcW w:type="dxa" w:w="1531"/>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Конфигурация</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B2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Hit@1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Hit@K P2</w:t>
            </w:r>
          </w:p>
        </w:tc>
        <w:tc>
          <w:tcPr>
            <w:tcW w:type="dxa" w:w="1134"/>
            <w:vAlign w:val="center"/>
            <w:shd w:fill="D9EAF7"/>
            <w:tcMar>
              <w:top w:w="60" w:type="dxa"/>
              <w:start w:w="80" w:type="dxa"/>
              <w:bottom w:w="60" w:type="dxa"/>
              <w:end w:w="80" w:type="dxa"/>
            </w:tcMar>
          </w:tcPr>
          <w:p>
            <w:pPr>
              <w:spacing w:after="0" w:line="240" w:lineRule="auto"/>
              <w:jc w:val="center"/>
            </w:pPr>
            <w:r>
              <w:rPr>
                <w:rFonts w:ascii="Times New Roman" w:hAnsi="Times New Roman" w:eastAsia="Times New Roman"/>
                <w:b/>
                <w:i w:val="0"/>
                <w:sz w:val="18"/>
              </w:rPr>
              <w:t>HN@1 P2</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SciREX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0,6099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0,5934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0,9341</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нет разметки</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SciER-384</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0,6667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0,9333</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SciER-128</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0,0000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RuSERRC</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0,7000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0,6900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1,0000</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0,0700</w:t>
            </w:r>
          </w:p>
        </w:tc>
      </w:tr>
      <w:tr>
        <w:trPr>
          <w:cantSplit/>
        </w:trPr>
        <w:tc>
          <w:tcPr>
            <w:tcW w:type="dxa" w:w="1531"/>
            <w:vAlign w:val="center"/>
            <w:tcMar>
              <w:top w:w="60" w:type="dxa"/>
              <w:start w:w="80" w:type="dxa"/>
              <w:bottom w:w="60" w:type="dxa"/>
              <w:end w:w="80" w:type="dxa"/>
            </w:tcMar>
          </w:tcPr>
          <w:p>
            <w:pPr>
              <w:spacing w:after="0" w:line="240" w:lineRule="auto"/>
              <w:jc w:val="left"/>
            </w:pPr>
            <w:r>
              <w:rPr>
                <w:rFonts w:ascii="Times New Roman" w:hAnsi="Times New Roman" w:eastAsia="Times New Roman"/>
                <w:b w:val="0"/>
                <w:i w:val="0"/>
                <w:sz w:val="18"/>
              </w:rPr>
              <w:t>SciMDIX</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0,3929</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0,5357</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0,9286</w:t>
            </w:r>
          </w:p>
        </w:tc>
        <w:tc>
          <w:tcPr>
            <w:tcW w:type="dxa" w:w="1134"/>
            <w:vAlign w:val="center"/>
            <w:tcMar>
              <w:top w:w="60" w:type="dxa"/>
              <w:start w:w="80" w:type="dxa"/>
              <w:bottom w:w="60" w:type="dxa"/>
              <w:end w:w="80" w:type="dxa"/>
            </w:tcMar>
          </w:tcPr>
          <w:p>
            <w:pPr>
              <w:spacing w:after="0" w:line="240" w:lineRule="auto"/>
              <w:jc w:val="center"/>
            </w:pPr>
            <w:r>
              <w:rPr>
                <w:rFonts w:ascii="Times New Roman" w:hAnsi="Times New Roman" w:eastAsia="Times New Roman"/>
                <w:b w:val="0"/>
                <w:i w:val="0"/>
                <w:sz w:val="18"/>
              </w:rPr>
              <w:t>0,1429</w:t>
            </w:r>
          </w:p>
        </w:tc>
      </w:tr>
    </w:tbl>
    <w:p>
      <w:pPr>
        <w:spacing w:line="240" w:lineRule="auto" w:after="0"/>
        <w:ind w:firstLine="709"/>
        <w:jc w:val="both"/>
      </w:pPr>
      <w:r>
        <w:rPr>
          <w:rFonts w:ascii="Times New Roman" w:hAnsi="Times New Roman" w:eastAsia="Times New Roman"/>
          <w:b w:val="0"/>
          <w:i w:val="0"/>
          <w:sz w:val="24"/>
        </w:rPr>
        <w:t>Отдельное сравнение английских моделей показало сильное влияние дообучения на данных предметной области. Дообученная ModernBERT-система получила 56,3056 на SciREX, 100,0000 на SciER-384 и 97,0556 на SciER-128. Та же архитектурная линия без дообучения на целевых корпусах, использующая публичную модель SQuAD 2.0, получила 22,9600, 54,5416 и 62,1445 при ограничении кандидатами B0. Следовательно, почти идеальные результаты на SciER объясняются прежде всего обучением на целевых данных и должны подтверждаться на более крупной независимой выборке.</w:t>
      </w:r>
    </w:p>
    <w:p>
      <w:pPr>
        <w:spacing w:line="240" w:lineRule="auto" w:after="0"/>
        <w:ind w:firstLine="709"/>
        <w:jc w:val="both"/>
      </w:pPr>
      <w:r>
        <w:rPr>
          <w:rFonts w:ascii="Times New Roman" w:hAnsi="Times New Roman" w:eastAsia="Times New Roman"/>
          <w:b w:val="0"/>
          <w:i w:val="0"/>
          <w:sz w:val="24"/>
        </w:rPr>
        <w:t>Русские эксперименты выявили особую роль базовой ранжирующей модели. На RuSERRC замена исходной модели на BGE увеличила F1 с 52,768 до 69,954, то есть на 17,167 пункта при доверительном интервале [14,066; 20,152]. Последующие компоненты повторного ранжирования возвращались к базовому решению. На SciMDIX модель DiTy повысила базовый результат до 57,331, а адаптивный вариант с четырьмя кандидатами достиг 59,625; прирост к DiTy составил 2,280 [0,770; 4,088]. Однако согласованность нескольких ответов не внесла самостоятельного вклада: выбранным оставался основной вопрос, а полезным был признак поддержки кластера исходных фрагментов.</w:t>
      </w:r>
    </w:p>
    <w:p>
      <w:pPr>
        <w:keepNext/>
        <w:spacing w:line="240" w:lineRule="auto" w:after="120" w:before="240"/>
        <w:jc w:val="center"/>
      </w:pPr>
      <w:r>
        <w:rPr>
          <w:rFonts w:ascii="Times New Roman" w:hAnsi="Times New Roman" w:eastAsia="Times New Roman"/>
          <w:b/>
          <w:i w:val="0"/>
          <w:sz w:val="24"/>
        </w:rPr>
        <w:t>Обсуждение</w:t>
      </w:r>
    </w:p>
    <w:p>
      <w:pPr>
        <w:spacing w:line="240" w:lineRule="auto" w:after="0"/>
        <w:ind w:firstLine="709"/>
        <w:jc w:val="both"/>
      </w:pPr>
      <w:r>
        <w:rPr>
          <w:rFonts w:ascii="Times New Roman" w:hAnsi="Times New Roman" w:eastAsia="Times New Roman"/>
          <w:b w:val="0"/>
          <w:i w:val="0"/>
          <w:sz w:val="24"/>
        </w:rPr>
        <w:t>Полученные данные показывают, что многоязычная оценка выбора фрагмента должна учитывать устройство исходного корпуса. SciER и SciMDIX формально содержат разметку научных сущностей и аспектов, но различаются почти по всем факторам сложности. В аннотации SciMDIX обычно имеется около пяти фрагментов, тогда как полнотекстовая статья SciER при 128/24 порождает в среднем десятки кандидатов. Поэтому более высокий или низкий абсолютный F1 нельзя непосредственно интерпретировать как свойство языка. Содержательно сопоставимы прежде всего изменения относительно собственной базовой системы.</w:t>
      </w:r>
    </w:p>
    <w:p>
      <w:pPr>
        <w:spacing w:line="240" w:lineRule="auto" w:after="0"/>
        <w:ind w:firstLine="709"/>
        <w:jc w:val="both"/>
      </w:pPr>
      <w:r>
        <w:rPr>
          <w:rFonts w:ascii="Times New Roman" w:hAnsi="Times New Roman" w:eastAsia="Times New Roman"/>
          <w:b w:val="0"/>
          <w:i w:val="0"/>
          <w:sz w:val="24"/>
        </w:rPr>
        <w:t>Эксперимент с двумя вариантами SciER подтверждает, что разбиение текста является частью задачи, а не нейтральной предварительной операцией. Мелкие фрагменты повышают вероятность локализовать короткое упоминание и увеличивают число подтверждённых положительных примеров, но одновременно расширяют множество близких кандидатов. Более крупные фрагменты уменьшают число кандидатов, содержат больше контекста и иногда упрощают извлечение ответа, однако могут объединять несколько аспектов и снижать различимость ответов. По этой причине параметры 128/24 и 384/50 представлены как две связанные конфигурации одного семейства.</w:t>
      </w:r>
    </w:p>
    <w:p>
      <w:pPr>
        <w:spacing w:line="240" w:lineRule="auto" w:after="0"/>
        <w:ind w:firstLine="709"/>
        <w:jc w:val="both"/>
      </w:pPr>
      <w:r>
        <w:rPr>
          <w:rFonts w:ascii="Times New Roman" w:hAnsi="Times New Roman" w:eastAsia="Times New Roman"/>
          <w:b w:val="0"/>
          <w:i w:val="0"/>
          <w:sz w:val="24"/>
        </w:rPr>
        <w:t>Доля примеров с извлекаемым ответом особенно важна для SciMDIX. Лишь 185 из 1001 обучающего аспектного примера вошли в основную выборку. Было бы ошибкой преобразовать остальные официальные упоминания в отрицательные: проверка границ разметки показала их сохранность. Фильтр отражает ограничения конкретного вопроса и модели извлечения ответа. Для дальнейшего развития необходимы улучшение русских формулировок вопросов, более сильная модель ответа и отдельное сравнение с вариантом, где положительность определяется официальной разметкой независимо от результата модели.</w:t>
      </w:r>
    </w:p>
    <w:p>
      <w:pPr>
        <w:spacing w:line="240" w:lineRule="auto" w:after="0"/>
        <w:ind w:firstLine="709"/>
        <w:jc w:val="both"/>
      </w:pPr>
      <w:r>
        <w:rPr>
          <w:rFonts w:ascii="Times New Roman" w:hAnsi="Times New Roman" w:eastAsia="Times New Roman"/>
          <w:b w:val="0"/>
          <w:i w:val="0"/>
          <w:sz w:val="24"/>
        </w:rPr>
        <w:t>Сильный эффект BGE на RuSERRC демонстрирует ещё одно ограничение межъязыковых выводов. Если базовая русская ранжирующая модель слабее английской по способности различать аспектно близкие фрагменты, надстройка согласованности ответов вынуждена исправлять слишком много ошибок и становится нестабильной. После усиления базовой модели дополнительная надстройка почти не меняет решения. Это не означает бесполезности безопасного механизма: возврат к базовой системе предотвращает ухудшение, но самостоятельный прирост второго компонента на RuSERRC не подтверждён.</w:t>
      </w:r>
    </w:p>
    <w:p>
      <w:pPr>
        <w:spacing w:line="240" w:lineRule="auto" w:after="0"/>
        <w:ind w:firstLine="709"/>
        <w:jc w:val="both"/>
      </w:pPr>
      <w:r>
        <w:rPr>
          <w:rFonts w:ascii="Times New Roman" w:hAnsi="Times New Roman" w:eastAsia="Times New Roman"/>
          <w:b w:val="0"/>
          <w:i w:val="0"/>
          <w:sz w:val="24"/>
        </w:rPr>
        <w:t>На английских полнотекстовых данных сигналы модели извлечения ответа полезнее, однако часть эффекта V4.4 связана с выбором формулировки вопроса. В конфигурации SciER-384 порядок кандидатов иногда не менялся, а качество ответа росло после перехода к другой формулировке. В будущих исследованиях следует раздельно оценивать три вмешательства: изменение вопроса, изменение порядка фрагментов и изменение модели ответа. Без такого контроля улучшение всего конвейера нельзя полностью приписывать алгоритму выбора фрагмента.</w:t>
      </w:r>
    </w:p>
    <w:p>
      <w:pPr>
        <w:spacing w:line="240" w:lineRule="auto" w:after="0"/>
        <w:ind w:firstLine="709"/>
        <w:jc w:val="both"/>
      </w:pPr>
      <w:r>
        <w:rPr>
          <w:rFonts w:ascii="Times New Roman" w:hAnsi="Times New Roman" w:eastAsia="Times New Roman"/>
          <w:b w:val="0"/>
          <w:i w:val="0"/>
          <w:sz w:val="24"/>
        </w:rPr>
        <w:t>Итоговая сравнительная оценка имеет несколько ограничений. Во-первых, SciER содержит только десять тестовых документов, а SciMDIX - 28 оцениваемых вопросов из 17 документов, поэтому доверительные интервалы широки. Во-вторых, RuSERRC использовался при разработке и не является независимым подтверждением. В-третьих, SciER-128 и SciER-384 статистически связаны. В-четвёртых, итоговое правило согласованности было сформулировано после раскрытия тестовой выборки и должно рассматриваться как апостериорная архитектура. Наконец, сохранённые измерения времени применения моделей использовали общий кэш ответов и не подходят для честного сквозного сравнения вычислительных затрат.</w:t>
      </w:r>
    </w:p>
    <w:p>
      <w:pPr>
        <w:spacing w:line="240" w:lineRule="auto" w:after="0"/>
        <w:ind w:firstLine="709"/>
        <w:jc w:val="both"/>
      </w:pPr>
      <w:r>
        <w:rPr>
          <w:rFonts w:ascii="Times New Roman" w:hAnsi="Times New Roman" w:eastAsia="Times New Roman"/>
          <w:b w:val="0"/>
          <w:i w:val="0"/>
          <w:sz w:val="24"/>
        </w:rPr>
        <w:t>Несмотря на ограничения, подготовленная схема обеспечивает прослеживаемость данных. Версии и контрольные суммы источников зафиксированы, исходные слои NER и отношений не потеряны, закрытые части физически отделены от обучающих файлов, а неоднозначные примеры доступны для повторного анализа. Это позволяет заменять модель извлечения ответа или формулировки вопросов без повторного скачивания и ручного восстановления исходной разметки.</w:t>
      </w:r>
    </w:p>
    <w:p>
      <w:pPr>
        <w:spacing w:line="240" w:lineRule="auto" w:after="0"/>
        <w:ind w:firstLine="709"/>
        <w:jc w:val="both"/>
      </w:pPr>
      <w:r>
        <w:rPr>
          <w:rFonts w:ascii="Times New Roman" w:hAnsi="Times New Roman" w:eastAsia="Times New Roman"/>
          <w:b w:val="0"/>
          <w:i w:val="0"/>
          <w:sz w:val="24"/>
        </w:rPr>
        <w:t>Практический вывод состоит в том, что будущие методы следует сравнивать не только по F1 ответа. Необходимы показатели попадания в подтверждающий фрагмент, частоты выбора сложных отрицательных примеров и доли вопросов с извлекаемым ответом. Такая система показателей позволяет различить ошибку поиска, ошибку модели ответа и ошибку правила выбора. Результаты SciREX дополнительно показывают, что одной перестановки кандидатов недостаточно: качество зависит и от способности модели извлекать ответ из выбранного фрагмента.</w:t>
      </w:r>
    </w:p>
    <w:p>
      <w:pPr>
        <w:spacing w:line="240" w:lineRule="auto" w:after="0"/>
        <w:ind w:firstLine="709"/>
        <w:jc w:val="both"/>
      </w:pPr>
      <w:r>
        <w:rPr>
          <w:rFonts w:ascii="Times New Roman" w:hAnsi="Times New Roman" w:eastAsia="Times New Roman"/>
          <w:b w:val="0"/>
          <w:i w:val="0"/>
          <w:sz w:val="24"/>
        </w:rPr>
        <w:t>Для независимого подтверждения требуется заранее зафиксировать финальную архитектуру и проверить её на новом закрытом разбиении или дополнительном корпусе. Желательно увеличить число тестовых документов SciER-подобного типа, сохранить отдельную оценку коротких аннотаций и включить внераспределительную часть SciER. Ресурсное сравнение следует повторить без общего кэша, с синхронизацией графического процессора и фактическим измерением максимальной видеопамяти.</w:t>
      </w:r>
    </w:p>
    <w:p>
      <w:pPr>
        <w:keepNext/>
        <w:spacing w:line="240" w:lineRule="auto" w:after="120" w:before="240"/>
        <w:jc w:val="center"/>
      </w:pPr>
      <w:r>
        <w:rPr>
          <w:rFonts w:ascii="Times New Roman" w:hAnsi="Times New Roman" w:eastAsia="Times New Roman"/>
          <w:b/>
          <w:i w:val="0"/>
          <w:sz w:val="24"/>
        </w:rPr>
        <w:t>Заключение</w:t>
      </w:r>
    </w:p>
    <w:p>
      <w:pPr>
        <w:spacing w:line="240" w:lineRule="auto" w:after="0"/>
        <w:ind w:firstLine="709"/>
        <w:jc w:val="both"/>
      </w:pPr>
      <w:r>
        <w:rPr>
          <w:rFonts w:ascii="Times New Roman" w:hAnsi="Times New Roman" w:eastAsia="Times New Roman"/>
          <w:b w:val="0"/>
          <w:i w:val="0"/>
          <w:sz w:val="24"/>
        </w:rPr>
        <w:t>Разработан воспроизводимый многоязычный протокол подготовки данных для выбора подтверждающего фрагмента в научных текстах. В единой структуре представлены английские SciREX и SciER и русские RuSERRC и SciMDIX. Протокол сохраняет точные границы официальной разметки, различает положительные, сложные отрицательные, вероятные ложноотрицательные и неоднозначные фрагменты, формирует перекрёстную проверку с группировкой по документам и фиксирует происхождение каждого исходного файла.</w:t>
      </w:r>
    </w:p>
    <w:p>
      <w:pPr>
        <w:spacing w:line="240" w:lineRule="auto" w:after="0"/>
        <w:ind w:firstLine="709"/>
        <w:jc w:val="both"/>
      </w:pPr>
      <w:r>
        <w:rPr>
          <w:rFonts w:ascii="Times New Roman" w:hAnsi="Times New Roman" w:eastAsia="Times New Roman"/>
          <w:b w:val="0"/>
          <w:i w:val="0"/>
          <w:sz w:val="24"/>
        </w:rPr>
        <w:t>Эксперименты подтвердили, что степень детализации разбиения существенно влияет на число кандидатов и долю вопросов с извлекаемым ответом. Конфигурации SciER-128 и SciER-384 следует рассматривать совместно, а не как независимые корпуса. SciMDIX обеспечивает независимую русскоязычную проверку тематического извлечения по аннотациям, но не заменяет полнотекстовую оценку.</w:t>
      </w:r>
    </w:p>
    <w:p>
      <w:pPr>
        <w:spacing w:line="240" w:lineRule="auto" w:after="0"/>
        <w:ind w:firstLine="709"/>
        <w:jc w:val="both"/>
      </w:pPr>
      <w:r>
        <w:rPr>
          <w:rFonts w:ascii="Times New Roman" w:hAnsi="Times New Roman" w:eastAsia="Times New Roman"/>
          <w:b w:val="0"/>
          <w:i w:val="0"/>
          <w:sz w:val="24"/>
        </w:rPr>
        <w:t>Итоговое сравнение показало отсутствие одной системы, превосходящей остальные в каждой конфигурации. На RuSERRC основной прирост обеспечивает сильная базовая ранжирующая модель; на английских полнотекстовых данных заметнее вклад сигналов модели извлечения ответа.</w:t>
      </w:r>
    </w:p>
    <w:p>
      <w:pPr>
        <w:spacing w:line="240" w:lineRule="auto" w:after="0"/>
        <w:ind w:firstLine="709"/>
        <w:jc w:val="both"/>
      </w:pPr>
      <w:r>
        <w:rPr>
          <w:rFonts w:ascii="Times New Roman" w:hAnsi="Times New Roman" w:eastAsia="Times New Roman"/>
          <w:b w:val="0"/>
          <w:i w:val="0"/>
          <w:sz w:val="24"/>
        </w:rPr>
        <w:t>Подготовленный комплекс данных и аудиторских файлов может использоваться для последующих исследований выбора фрагмента, формулировок вопросов и моделей извлечения ответа. Научное подтверждение финального адаптивного правила требует нового заранее зафиксированного испытания на закрытых данных.</w:t>
      </w:r>
    </w:p>
    <w:p>
      <w:pPr>
        <w:keepNext/>
        <w:spacing w:line="240" w:lineRule="auto" w:after="120" w:before="240"/>
        <w:jc w:val="center"/>
      </w:pPr>
      <w:r>
        <w:rPr>
          <w:rFonts w:ascii="Times New Roman" w:hAnsi="Times New Roman" w:eastAsia="Times New Roman"/>
          <w:b/>
          <w:i w:val="0"/>
          <w:sz w:val="24"/>
        </w:rPr>
        <w:t>СПИСОК ИСТОЧНИКОВ / REFERENCES</w:t>
      </w:r>
    </w:p>
    <w:p>
      <w:pPr>
        <w:spacing w:line="240" w:lineRule="auto" w:after="0"/>
        <w:ind w:left="425" w:hanging="425"/>
        <w:jc w:val="both"/>
      </w:pPr>
      <w:r>
        <w:rPr>
          <w:rFonts w:ascii="Times New Roman" w:hAnsi="Times New Roman" w:eastAsia="Times New Roman"/>
          <w:b w:val="0"/>
          <w:i w:val="0"/>
          <w:sz w:val="24"/>
        </w:rPr>
        <w:t>1. Jain S, van Zuylen M, Hajishirzi H, Beltagy I. SciREX: A Challenge Dataset for Document-Level Information Extraction. Proceedings of the 58th Annual Meeting of the Association for Computational Linguistics. 2020:7506-7516. DOI: 10.18653/v1/2020.acl-main.670.</w:t>
      </w:r>
    </w:p>
    <w:p>
      <w:pPr>
        <w:spacing w:line="240" w:lineRule="auto" w:after="0"/>
        <w:ind w:left="425" w:hanging="425"/>
        <w:jc w:val="both"/>
      </w:pPr>
      <w:r>
        <w:rPr>
          <w:rFonts w:ascii="Times New Roman" w:hAnsi="Times New Roman" w:eastAsia="Times New Roman"/>
          <w:b w:val="0"/>
          <w:i w:val="0"/>
          <w:sz w:val="24"/>
        </w:rPr>
        <w:t>2. Bruches E, Pauls A, Batura T, Isachenko V. Entity recognition and relation extraction from scientific and technical texts in Russian. Proceedings of the 2020 Science and Artificial Intelligence Conference. 2020:41-45.</w:t>
      </w:r>
    </w:p>
    <w:p>
      <w:pPr>
        <w:spacing w:line="240" w:lineRule="auto" w:after="0"/>
        <w:ind w:left="425" w:hanging="425"/>
        <w:jc w:val="both"/>
      </w:pPr>
      <w:r>
        <w:rPr>
          <w:rFonts w:ascii="Times New Roman" w:hAnsi="Times New Roman" w:eastAsia="Times New Roman"/>
          <w:b w:val="0"/>
          <w:i w:val="0"/>
          <w:sz w:val="24"/>
        </w:rPr>
        <w:t>3. Marshalova A, Bruches E, Batura T. Automatic Aspect Extraction from Scientific Texts. Recent Trends in Analysis of Images, Social Networks and Texts. Communications in Computer and Information Science. 2024;1905:67-80.</w:t>
      </w:r>
    </w:p>
    <w:p>
      <w:pPr>
        <w:spacing w:line="240" w:lineRule="auto" w:after="0"/>
        <w:ind w:left="425" w:hanging="425"/>
        <w:jc w:val="both"/>
      </w:pPr>
      <w:r>
        <w:rPr>
          <w:rFonts w:ascii="Times New Roman" w:hAnsi="Times New Roman" w:eastAsia="Times New Roman"/>
          <w:b w:val="0"/>
          <w:i w:val="0"/>
          <w:sz w:val="24"/>
        </w:rPr>
        <w:t>4. Batura T, Yerimbetova A, Mukazhanov N, Shvarts N, Sakenov B, Turdalyuly M. Information Extraction from Multi-Domain Scientific Documents: Methods and Insights. Applied Sciences. 2025;15(16):9086. DOI: 10.3390/app15169086.</w:t>
      </w:r>
    </w:p>
    <w:p>
      <w:pPr>
        <w:spacing w:line="240" w:lineRule="auto" w:after="0"/>
        <w:ind w:left="425" w:hanging="425"/>
        <w:jc w:val="both"/>
      </w:pPr>
      <w:r>
        <w:rPr>
          <w:rFonts w:ascii="Times New Roman" w:hAnsi="Times New Roman" w:eastAsia="Times New Roman"/>
          <w:b w:val="0"/>
          <w:i w:val="0"/>
          <w:sz w:val="24"/>
        </w:rPr>
        <w:t>5. Shvarts N, Batura T, Mukazhanov N, Yerimbetova A, Turdalyuly M, Sakenov B. SciMDIX: A dataset for aspect extraction from multi-domain scientific documents in Kazakh and Russian. Procedia Computer Science. 2026;275:474-483. DOI: 10.1016/j.procs.2026.01.056.</w:t>
      </w:r>
    </w:p>
    <w:p>
      <w:pPr>
        <w:spacing w:line="240" w:lineRule="auto" w:after="0"/>
        <w:ind w:left="425" w:hanging="425"/>
        <w:jc w:val="both"/>
      </w:pPr>
      <w:r>
        <w:rPr>
          <w:rFonts w:ascii="Times New Roman" w:hAnsi="Times New Roman" w:eastAsia="Times New Roman"/>
          <w:b w:val="0"/>
          <w:i w:val="0"/>
          <w:sz w:val="24"/>
        </w:rPr>
        <w:t>6. Zhang Q, Chen Z, Pan H, Caragea C, Latecki LJ, Dragut E. SciER: An Entity and Relation Extraction Dataset for Datasets, Methods, and Tasks in Scientific Documents. Proceedings of EMNLP. 2024:13083-13100. DOI: 10.18653/v1/2024.emnlp-main.726.</w:t>
      </w:r>
    </w:p>
    <w:p>
      <w:pPr>
        <w:spacing w:line="240" w:lineRule="auto" w:after="0"/>
        <w:ind w:left="425" w:hanging="425"/>
        <w:jc w:val="both"/>
      </w:pPr>
      <w:r>
        <w:rPr>
          <w:rFonts w:ascii="Times New Roman" w:hAnsi="Times New Roman" w:eastAsia="Times New Roman"/>
          <w:b w:val="0"/>
          <w:i w:val="0"/>
          <w:sz w:val="24"/>
        </w:rPr>
        <w:t>7. Qu Y, Ding Y, Liu J, Liu K, Ren R, Zhao X, et al. RocketQA: An Optimized Training Approach to Dense Passage Retrieval for Open-Domain Question Answering. 2020.</w:t>
      </w:r>
    </w:p>
    <w:p>
      <w:pPr>
        <w:spacing w:line="240" w:lineRule="auto" w:after="0"/>
        <w:ind w:left="425" w:hanging="425"/>
        <w:jc w:val="both"/>
      </w:pPr>
      <w:r>
        <w:rPr>
          <w:rFonts w:ascii="Times New Roman" w:hAnsi="Times New Roman" w:eastAsia="Times New Roman"/>
          <w:b w:val="0"/>
          <w:i w:val="0"/>
          <w:sz w:val="24"/>
        </w:rPr>
        <w:t>8. Ni A, Gardner M, Dasigi P. Mitigating False-Negative Contexts in Multi-document Question Answering with Retrieval Marginalization. Proceedings of EMNLP. 2021. DOI: 10.18653/v1/2021.emnlp-main.497.</w:t>
      </w:r>
    </w:p>
    <w:p>
      <w:pPr>
        <w:spacing w:line="240" w:lineRule="auto" w:after="0"/>
        <w:ind w:left="425" w:hanging="425"/>
        <w:jc w:val="both"/>
      </w:pPr>
      <w:r>
        <w:rPr>
          <w:rFonts w:ascii="Times New Roman" w:hAnsi="Times New Roman" w:eastAsia="Times New Roman"/>
          <w:b w:val="0"/>
          <w:i w:val="0"/>
          <w:sz w:val="24"/>
        </w:rPr>
        <w:t>9. Abdumalikov R, Minervini P, Kementchedjhieva Y. Answerability in Retrieval-Augmented Open-Domain Question Answering. arXiv:2403.01461. 2024.</w:t>
      </w:r>
    </w:p>
    <w:p>
      <w:pPr>
        <w:spacing w:line="240" w:lineRule="auto" w:after="0"/>
        <w:ind w:left="425" w:hanging="425"/>
        <w:jc w:val="both"/>
      </w:pPr>
      <w:r>
        <w:rPr>
          <w:rFonts w:ascii="Times New Roman" w:hAnsi="Times New Roman" w:eastAsia="Times New Roman"/>
          <w:b w:val="0"/>
          <w:i w:val="0"/>
          <w:sz w:val="24"/>
        </w:rPr>
        <w:t>10. Wang Z, Ng P, Ma X, Nallapati R, Xiang B. Multi-passage BERT: A Globally Normalized BERT Model for Open-domain Question Answering. 2019:5877-5881.</w:t>
      </w:r>
    </w:p>
    <w:p>
      <w:pPr>
        <w:spacing w:line="240" w:lineRule="auto" w:after="0"/>
        <w:ind w:left="425" w:hanging="425"/>
        <w:jc w:val="both"/>
      </w:pPr>
      <w:r>
        <w:rPr>
          <w:rFonts w:ascii="Times New Roman" w:hAnsi="Times New Roman" w:eastAsia="Times New Roman"/>
          <w:b w:val="0"/>
          <w:i w:val="0"/>
          <w:sz w:val="24"/>
        </w:rPr>
        <w:t>11. Wang S, Yu M, Jiang J, Zhang W, Guo X, Chang S, et al. Evidence Aggregation for Answer Re-Ranking in Open-Domain Question Answering. arXiv:1711.05116. 2017.</w:t>
      </w:r>
    </w:p>
    <w:p>
      <w:pPr>
        <w:spacing w:line="240" w:lineRule="auto" w:after="0"/>
        <w:ind w:left="425" w:hanging="425"/>
        <w:jc w:val="both"/>
      </w:pPr>
      <w:r>
        <w:rPr>
          <w:rFonts w:ascii="Times New Roman" w:hAnsi="Times New Roman" w:eastAsia="Times New Roman"/>
          <w:b w:val="0"/>
          <w:i w:val="0"/>
          <w:sz w:val="24"/>
        </w:rPr>
        <w:t>12. Hashimoto K, Zhou Y, Yavuz S, Xiong C, Yu PS. Dense Hierarchical Retrieval for Open-Domain Question Answering. 2021:188-200.</w:t>
      </w:r>
    </w:p>
    <w:p>
      <w:pPr>
        <w:spacing w:line="240" w:lineRule="auto" w:after="0"/>
        <w:ind w:left="425" w:hanging="425"/>
        <w:jc w:val="both"/>
      </w:pPr>
      <w:r>
        <w:rPr>
          <w:rFonts w:ascii="Times New Roman" w:hAnsi="Times New Roman" w:eastAsia="Times New Roman"/>
          <w:b w:val="0"/>
          <w:i w:val="0"/>
          <w:sz w:val="24"/>
        </w:rPr>
        <w:t>13. Caciularu A, Dagan I, Goldberger J, Cohan A. Long Context Question Answering via Supervised Contrastive Learning. 2021:2872-2879.</w:t>
      </w:r>
    </w:p>
    <w:p>
      <w:pPr>
        <w:spacing w:line="240" w:lineRule="auto" w:after="0"/>
        <w:ind w:left="425" w:hanging="425"/>
        <w:jc w:val="both"/>
      </w:pPr>
      <w:r>
        <w:rPr>
          <w:rFonts w:ascii="Times New Roman" w:hAnsi="Times New Roman" w:eastAsia="Times New Roman"/>
          <w:b w:val="0"/>
          <w:i w:val="0"/>
          <w:sz w:val="24"/>
        </w:rPr>
        <w:t>14. Ferguson J, Hajishirzi H, Dasigi P, Khot T. Retrieval Data Augmentation Informed by Downstream Question Answering Performance. Proceedings of the Fifth Fact Extraction and VERification Workshop. 2022. DOI: 10.18653/v1/2022.fever-1.1.</w:t>
      </w:r>
    </w:p>
    <w:p>
      <w:pPr>
        <w:keepNext/>
        <w:spacing w:line="240" w:lineRule="auto" w:after="120" w:before="240"/>
        <w:jc w:val="center"/>
      </w:pPr>
      <w:r>
        <w:rPr>
          <w:rFonts w:ascii="Times New Roman" w:hAnsi="Times New Roman" w:eastAsia="Times New Roman"/>
          <w:b/>
          <w:i w:val="0"/>
          <w:sz w:val="24"/>
        </w:rPr>
        <w:t>ИНФОРМАЦИЯ ОБ АВТОРЕ / INFORMATION ABOUT THE AUTHOR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rPr>
              <w:t>[Ф.И.О. полностью], [учёная степень, звание, должность], [полное название организации], [город], [страна].</w:t>
            </w:r>
            <w:r>
              <w:br/>
            </w:r>
            <w:r>
              <w:rPr>
                <w:rFonts w:ascii="Times New Roman" w:hAnsi="Times New Roman" w:eastAsia="Times New Roman"/>
                <w:b w:val="0"/>
                <w:i w:val="0"/>
                <w:sz w:val="20"/>
              </w:rPr>
              <w:t>e-mail: [адрес]</w:t>
            </w:r>
            <w:r>
              <w:br/>
            </w:r>
            <w:r>
              <w:rPr>
                <w:rFonts w:ascii="Times New Roman" w:hAnsi="Times New Roman" w:eastAsia="Times New Roman"/>
                <w:b w:val="0"/>
                <w:i w:val="0"/>
                <w:sz w:val="20"/>
              </w:rPr>
              <w:t>ORCID: [ссылка]</w:t>
            </w:r>
          </w:p>
        </w:tc>
        <w:tc>
          <w:tcPr>
            <w:tcW w:type="dxa" w:w="4535"/>
            <w:tcMar>
              <w:top w:w="100" w:type="dxa"/>
              <w:start w:w="100" w:type="dxa"/>
              <w:bottom w:w="100" w:type="dxa"/>
              <w:end w:w="100" w:type="dxa"/>
            </w:tcMar>
          </w:tcPr>
          <w:p>
            <w:pPr>
              <w:spacing w:after="0" w:line="240" w:lineRule="auto"/>
              <w:jc w:val="both"/>
            </w:pPr>
            <w:r>
              <w:rPr>
                <w:rFonts w:ascii="Times New Roman" w:hAnsi="Times New Roman" w:eastAsia="Times New Roman"/>
                <w:b/>
                <w:i w:val="0"/>
                <w:sz w:val="20"/>
                <w:lang w:val="en-US"/>
              </w:rPr>
              <w:t>[Full name], [academic degree, title, position], [full organization name], [city], [country].</w:t>
            </w:r>
            <w:r>
              <w:br/>
            </w:r>
            <w:r>
              <w:rPr>
                <w:rFonts w:ascii="Times New Roman" w:hAnsi="Times New Roman" w:eastAsia="Times New Roman"/>
                <w:b w:val="0"/>
                <w:i w:val="0"/>
                <w:sz w:val="20"/>
                <w:lang w:val="en-US"/>
              </w:rPr>
              <w:t>e-mail: [address]</w:t>
            </w:r>
            <w:r>
              <w:br/>
            </w:r>
            <w:r>
              <w:rPr>
                <w:rFonts w:ascii="Times New Roman" w:hAnsi="Times New Roman" w:eastAsia="Times New Roman"/>
                <w:b w:val="0"/>
                <w:i w:val="0"/>
                <w:sz w:val="20"/>
                <w:lang w:val="en-US"/>
              </w:rPr>
              <w:t>ORCID: [link]</w:t>
            </w:r>
          </w:p>
        </w:tc>
      </w:tr>
    </w:tbl>
    <w:p>
      <w:pPr>
        <w:spacing w:line="240" w:lineRule="auto" w:after="240" w:before="240"/>
        <w:jc w:val="center"/>
      </w:pPr>
      <w:r>
        <w:rPr>
          <w:rFonts w:ascii="Times New Roman" w:hAnsi="Times New Roman" w:eastAsia="Times New Roman"/>
          <w:b w:val="0"/>
          <w:i/>
          <w:sz w:val="24"/>
        </w:rPr>
        <w:t>Статья поступила в редакцию [дата]; одобрена после рецензирования [дата]; принята к публикации [дата].</w:t>
      </w:r>
    </w:p>
    <w:p>
      <w:pPr>
        <w:spacing w:line="240" w:lineRule="auto" w:after="120"/>
        <w:jc w:val="center"/>
      </w:pPr>
      <w:r>
        <w:rPr>
          <w:rFonts w:ascii="Times New Roman" w:hAnsi="Times New Roman" w:eastAsia="Times New Roman"/>
          <w:b w:val="0"/>
          <w:i/>
          <w:sz w:val="24"/>
          <w:lang w:val="en-US"/>
        </w:rPr>
        <w:t>The article was submitted [date]; approved after reviewing [date]; accepted for publication [date].</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073BB456" ns2:textId="16E643AA" ns0:rsidR="00C6418A" ns0:rsidRDefault="00093DF7" ns0:rsidP="00093DF7">
    <ns0:pPr>
      <ns0:pStyle ns0:val="aff1"/>
      <ns0:tabs>
        <ns0:tab ns0:val="clear" ns0:pos="9355"/>
        <ns0:tab ns0:val="right" ns0:pos="9070"/>
      </ns0:tabs>
      <ns0:spacing ns0:after="240"/>
    </ns0:pPr>
    <ns0:r>
      <ns0:rPr>
        <ns0:rFonts ns0:ascii="Times New Roman" ns0:eastAsia="Times New Roman" ns0:hAnsi="Times New Roman" ns0:cs="Times New Roman"/>
        <ns0:b ns0:val="0"/>
        <ns0:i ns0:val="0"/>
        <ns0:sz ns0:val="20"/>
        <ns0:lang ns0:eastAsia="ru-RU"/>
      </ns0:rPr>
      <ns0:tab/>
    </ns0:r>
    <ns0:r>
      <ns0:rPr>
        <ns0:rFonts ns0:ascii="Times New Roman" ns0:eastAsia="Times New Roman" ns0:hAnsi="Times New Roman" ns0:cs="Times New Roman"/>
        <ns0:b ns0:val="0"/>
        <ns0:i ns0:val="0"/>
        <ns0:sz ns0:val="20"/>
        <ns0:lang ns0:eastAsia="ru-RU"/>
      </ns0:rPr>
      <ns0:tab/>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2</ns0:t>
    </ns0:r>
    <ns0:r ns0:rsidR="00A3192E">
      <ns0:rPr>
        <ns0:rFonts ns0:ascii="Times New Roman" ns0:eastAsia="Times New Roman" ns0:hAnsi="Times New Roman" ns0:cs="Times New Roman"/>
        <ns0:lang ns0:val="en-US" ns0:eastAsia="ru-RU"/>
      </ns0:rPr>
    </ns0:r>
    <ns0:r ns0:rsidR="00A3192E">
      <ns0:rPr>
        <ns0:rFonts ns0:ascii="Times New Roman" ns0:eastAsia="Times New Roman" ns0:hAnsi="Times New Roman" ns0:cs="Times New Roman"/>
        <ns0:b ns0:val="0"/>
        <ns0:i ns0:val="0"/>
        <ns0:sz ns0:val="20"/>
        <ns0:lang ns0:eastAsia="ru-RU"/>
      </ns0:rPr>
      <ns0:t xml:space="preserve"> | </ns0:t>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ascii="Times New Roman" ns0:eastAsia="Times New Roman" ns0:hAnsi="Times New Roman" ns0:cs="Times New Roman"/>
        <ns0:lang ns0:eastAsia="ru-RU"/>
      </ns0:rPr>
    </ns0:r>
    <ns0:r ns0:rsidR="00A3192E">
      <ns0:rPr>
        <ns0:rFonts ns0:eastAsia="Times New Roman" ns0:ascii="Times New Roman" ns0:hAnsi="Times New Roman"/>
        <ns0:b ns0:val="0"/>
        <ns0:i ns0:val="0"/>
        <ns0:sz ns0:val="20"/>
        <ns0:lang ns0:eastAsia="ru-RU"/>
      </ns0:rPr>
      <ns0:t>9</ns0:t>
    </ns0:r>
    <ns0:r ns0:rsidR="00A3192E">
      <ns0:rPr>
        <ns0:rFonts ns0:ascii="Times New Roman" ns0:eastAsia="Times New Roman" ns0:hAnsi="Times New Roman" ns0:cs="Times New Roman"/>
        <ns0:lang ns0:val="en-US" ns0:eastAsia="ru-RU"/>
      </ns0:rPr>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p14">
  <ns0:p ns2:paraId="4C08BB1E" ns2:textId="572FBE60" ns0:rsidR="00C6418A" ns0:rsidRDefault="00A3192E" ns0:rsidP="00FA4EB1">
    <ns0:pPr>
      <ns0:pStyle ns0:val="aff1"/>
      <ns0:tabs>
        <ns0:tab ns0:val="clear" ns0:pos="9355"/>
        <ns0:tab ns0:val="right" ns0:pos="9070"/>
      </ns0:tabs>
      <ns0:spacing ns0:after="240"/>
    </ns0:pPr>
    <ns0:bookmarkStart ns0:id="24" ns0:name="_Hlk124857823"/>
    <ns0:bookmarkStart ns0:id="25" ns0:name="_Hlk129958133"/>
    <ns0:r>
      <ns0:rPr>
        <ns0:rFonts ns0:ascii="Times New Roman" ns0:eastAsia="Times New Roman" ns0:hAnsi="Times New Roman" ns0:cs="Times New Roman"/>
        <ns0:b ns0:val="0"/>
        <ns0:i ns0:val="0"/>
        <ns0:sz ns0:val="20"/>
        <ns0:lang ns0:eastAsia="ru-RU"/>
      </ns0:rPr>
      <ns0:t>©</ns0:t>
    </ns0:r>
    <ns0:bookmarkEnd ns0:id="24"/>
    <ns0:r>
      <ns0:rPr>
        <ns0:rFonts ns0:ascii="Times New Roman" ns0:eastAsia="Times New Roman" ns0:hAnsi="Times New Roman" ns0:cs="Times New Roman"/>
        <ns0:b ns0:val="0"/>
        <ns0:i ns0:val="0"/>
        <ns0:sz ns0:val="20"/>
        <ns0:lang ns0:eastAsia="ru-RU"/>
      </ns0:rPr>
      <ns0:t xml:space="preserve"> </ns0:t>
    </ns0:r>
    <ns0:r>
      <ns0:rPr>
        <ns0:rFonts ns0:ascii="Times New Roman" ns0:hAnsi="Times New Roman" ns0:cs="Times New Roman" ns0:eastAsia="Times New Roman"/>
        <ns0:b ns0:val="0"/>
        <ns0:i ns0:val="0"/>
        <ns0:sz ns0:val="20"/>
      </ns0:rPr>
      <ns0:t>[Ф.И.О. автора], 202</ns0:t>
    </ns0:r>
    <ns0:bookmarkStart ns0:id="26" ns0:name="_Hlk127880111"/>
    <ns0:r ns0:rsidR="00FA4EB1">
      <ns0:rPr>
        <ns0:rFonts ns0:ascii="Times New Roman" ns0:hAnsi="Times New Roman" ns0:cs="Times New Roman" ns0:eastAsia="Times New Roman"/>
        <ns0:b ns0:val="0"/>
        <ns0:i ns0:val="0"/>
        <ns0:sz ns0:val="20"/>
      </ns0:rPr>
      <ns0:t>6</ns0:t>
    </ns0:r>
    <ns0:r ns0:rsidR="00FA4EB1">
      <ns0:rPr>
        <ns0:rFonts ns0:ascii="Times New Roman" ns0:hAnsi="Times New Roman" ns0:cs="Times New Roman" ns0:eastAsia="Times New Roman"/>
        <ns0:b ns0:val="0"/>
        <ns0:i ns0:val="0"/>
        <ns0:sz ns0:val="20"/>
      </ns0:rPr>
      <ns0:tab/>
    </ns0:r>
    <ns0:r ns0:rsidR="00FA4EB1">
      <ns0:rPr>
        <ns0:rFonts ns0:ascii="Times New Roman" ns0:hAnsi="Times New Roman" ns0:cs="Times New Roman" ns0:eastAsia="Times New Roman"/>
        <ns0:b ns0:val="0"/>
        <ns0:i ns0:val="0"/>
        <ns0:sz ns0:val="20"/>
      </ns0:rPr>
      <ns0:tab/>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1</ns0:t>
    </ns0:r>
    <ns0:r>
      <ns0:rPr>
        <ns0:rFonts ns0:ascii="Times New Roman" ns0:eastAsia="Times New Roman" ns0:hAnsi="Times New Roman" ns0:cs="Times New Roman"/>
        <ns0:lang ns0:val="en-US" ns0:eastAsia="ru-RU"/>
      </ns0:rPr>
    </ns0:r>
    <ns0:r>
      <ns0:rPr>
        <ns0:rFonts ns0:ascii="Times New Roman" ns0:eastAsia="Times New Roman" ns0:hAnsi="Times New Roman" ns0:cs="Times New Roman"/>
        <ns0:b ns0:val="0"/>
        <ns0:i ns0:val="0"/>
        <ns0:sz ns0:val="20"/>
        <ns0:lang ns0:eastAsia="ru-RU"/>
      </ns0:rPr>
      <ns0:t xml:space="preserve"> | </ns0:t>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lang ns0:eastAsia="ru-RU"/>
      </ns0:rPr>
    </ns0:r>
    <ns0:r>
      <ns0:rPr>
        <ns0:rFonts ns0:ascii="Times New Roman" ns0:eastAsia="Times New Roman" ns0:hAnsi="Times New Roman" ns0:cs="Times New Roman"/>
        <ns0:b ns0:val="0"/>
        <ns0:i ns0:val="0"/>
        <ns0:sz ns0:val="20"/>
        <ns0:lang ns0:eastAsia="ru-RU"/>
      </ns0:rPr>
      <ns0:t>9</ns0:t>
    </ns0:r>
    <ns0:r>
      <ns0:rPr>
        <ns0:rFonts ns0:ascii="Times New Roman" ns0:eastAsia="Times New Roman" ns0:hAnsi="Times New Roman" ns0:cs="Times New Roman"/>
        <ns0:lang ns0:val="en-US" ns0:eastAsia="ru-RU"/>
      </ns0:rPr>
    </ns0:r>
    <ns0:bookmarkEnd ns0:id="25"/>
    <ns0:bookmarkEnd ns0:id="26"/>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FA4EB1" ns0:rsidRPr="00FC6417" ns2:paraId="2D0A9708"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73F27B5"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0" ns0:name="_Hlk178933320"/>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5CE3263D" ns2:textId="77777777" ns0:rsidR="00FA4EB1" ns0:rsidRPr="00FC6417" ns0:rsidRDefault="00FA4EB1" ns0:rsidP="00FA4EB1">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113EEA0C" ns2:textId="6D2D3B8D"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sidRPr="00FC6417">
            <ns0:rPr>
              <ns0:rFonts ns0:ascii="Times New Roman" ns0:eastAsia="Times New Roman" ns0:hAnsi="Times New Roman" ns0:cs="Times New Roman"/>
              <ns0:b/>
              <ns0:sz ns0:val="18"/>
              <ns0:szCs ns0:val="18"/>
              <ns0:lang ns0:val="en-US"/>
            </ns0:rPr>
            <ns0:t>2</ns0:t>
          </ns0:r>
          <ns0:r ns0:rsidR="003C6001">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lang ns0:val="en-US"/>
            </ns0:rPr>
            <ns0:t>1</ns0:t>
          </ns0:r>
          <ns0:r ns0:rsidR="003C6001">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3C6001">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35A599D0" ns2:textId="77777777" ns0:rsidR="00FA4EB1" ns0:rsidRPr="00FC6417" ns0:rsidRDefault="00FA4EB1" ns0:rsidP="00FA4EB1">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p>
      </ns0:tc>
    </ns0:tr>
    <ns0:bookmarkEnd ns0:id="20"/>
  </ns0:tbl>
  <ns0:p ns2:paraId="08C96270" ns2:textId="77777777" ns0:rsidR="00C6418A" ns0:rsidRDefault="00C6418A">
    <ns0:pPr>
      <ns0:pStyle ns0:val="aff"/>
      <ns0:rPr>
        <ns0:rFonts ns0:ascii="Times New Roman" ns0:hAnsi="Times New Roman" ns0:cs="Times New Roman"/>
        <ns0:sz ns0:val="24"/>
        <ns0:szCs ns0:val="24"/>
      </ns0:rPr>
    </ns0:pPr>
  </ns0:p>
</ns0:hdr>
</file>

<file path=word/header2.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tbl>
    <ns0:tblPr>
      <ns0:tblW ns0:w="5000" ns0:type="pct"/>
      <ns0:tblInd ns0:w="-5" ns0:type="dxa"/>
      <ns0:tblBorders>
        <ns0:bottom ns0:val="thickThinLargeGap" ns0:sz="24" ns0:space="0" ns0:color="auto"/>
        <ns0:insideH ns0:val="single" ns0:sz="4" ns0:space="0" ns0:color="A6A6A6"/>
        <ns0:insideV ns0:val="single" ns0:sz="4" ns0:space="0" ns0:color="auto"/>
      </ns0:tblBorders>
      <ns0:tblLook ns0:val="01E0" ns0:firstRow="1" ns0:lastRow="1" ns0:firstColumn="1" ns0:lastColumn="1" ns0:noHBand="0" ns0:noVBand="0"/>
    </ns0:tblPr>
    <ns0:tblGrid>
      <ns0:gridCol ns0:w="7332"/>
      <ns0:gridCol ns0:w="1733"/>
    </ns0:tblGrid>
    <ns0:tr ns0:rsidR="00E754D4" ns0:rsidRPr="00FC6417" ns2:paraId="1A632CCC" ns2:textId="77777777" ns0:rsidTr="00513537">
      <ns0:tc>
        <ns0:tcPr>
          <ns0:tcW ns0:w="4044" ns0:type="pct"/>
          <ns0:tcBorders>
            <ns0:top ns0:val="thickThinLargeGap" ns0:sz="24" ns0:space="0" ns0:color="323E4F"/>
            <ns0:left ns0:val="single" ns0:sz="4" ns0:space="0" ns0:color="A6A6A6"/>
            <ns0:bottom ns0:val="thickThinLargeGap" ns0:sz="24" ns0:space="0" ns0:color="323E4F"/>
            <ns0:right ns0:val="single" ns0:sz="24" ns0:space="0" ns0:color="323E4F"/>
          </ns0:tcBorders>
          <ns0:shd ns0:val="clear" ns0:color="auto" ns0:fill="D5DCE4"/>
        </ns0:tcPr>
        <ns0:p ns2:paraId="4A5F4A9D"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b/>
              <ns0:bCs/>
              <ns0:sz ns0:val="18"/>
              <ns0:szCs ns0:val="18"/>
            </ns0:rPr>
          </ns0:pPr>
          <ns0:bookmarkStart ns0:id="21" ns0:name="_Hlk87132664"/>
          <ns0:bookmarkStart ns0:id="22" ns0:name="_Hlk115771519"/>
          <ns0:bookmarkStart ns0:id="23" ns0:name="_Hlk178932976"/>
          <ns0:r ns0:rsidRPr="00FC6417">
            <ns0:rPr>
              <ns0:rFonts ns0:ascii="Times New Roman" ns0:eastAsia="Times New Roman" ns0:hAnsi="Times New Roman" ns0:cs="Times New Roman"/>
              <ns0:noProof/>
              <ns0:sz ns0:val="24"/>
              <ns0:szCs ns0:val="24"/>
            </ns0:rPr>
            <ns0:drawing>
              <ns3:anchor distT="0" distB="0" distL="114300" distR="114300" simplePos="0" relativeHeight="251659264" behindDoc="0" locked="0" layoutInCell="1" allowOverlap="1" ns4:anchorId="69BA5896" ns4:editId="2CE56176">
                <ns3:simplePos x="0" y="0"/>
                <ns3:positionH relativeFrom="margin">
                  <ns3:posOffset>3753751</ns3:posOffset>
                </ns3:positionH>
                <ns3:positionV relativeFrom="paragraph">
                  <ns3:posOffset>-19685</ns3:posOffset>
                </ns3:positionV>
                <ns3:extent cx="863243" cy="298813"/>
                <ns3:effectExtent l="0" t="0" r="0" b="6350"/>
                <ns3:wrapNone/>
                <ns3:docPr id="8" name="Рисунок 8" descr="Изображение выглядит как текст, коллекция картинок&#10;&#10;Автоматически созданное описание"/>
                <ns3:cNvGraphicFramePr>
                  <ns5:graphicFrameLocks noChangeAspect="1"/>
                </ns3:cNvGraphicFramePr>
                <ns5:graphic>
                  <ns5:graphicData uri="http://schemas.openxmlformats.org/drawingml/2006/picture">
                    <ns6:pic>
                      <ns6:nvPicPr>
                        <ns6:cNvPr id="11" name="Рисунок 11" descr="Изображение выглядит как текст, коллекция картинок&#10;&#10;Автоматически созданное описание"/>
                        <ns6:cNvPicPr/>
                      </ns6:nvPicPr>
                      <ns6:blipFill>
                        <ns5:blip ns7:embed="rId1" cstate="print">
                          <ns5:extLst>
                            <ns5:ext uri="{28A0092B-C50C-407E-A947-70E740481C1C}">
                              <ns8:useLocalDpi val="0"/>
                            </ns5:ext>
                          </ns5:extLst>
                        </ns5:blip>
                        <ns5:stretch>
                          <ns5:fillRect/>
                        </ns5:stretch>
                      </ns6:blipFill>
                      <ns6:spPr>
                        <ns5:xfrm>
                          <ns5:off x="0" y="0"/>
                          <ns5:ext cx="863243" cy="298813"/>
                        </ns5:xfrm>
                        <ns5:prstGeom prst="rect">
                          <ns5:avLst/>
                        </ns5:prstGeom>
                      </ns6:spPr>
                    </ns6:pic>
                  </ns5:graphicData>
                </ns5:graphic>
                <ns4:sizeRelH relativeFrom="margin">
                  <ns4:pctWidth>0</ns4:pctWidth>
                </ns4:sizeRelH>
                <ns4:sizeRelV relativeFrom="margin">
                  <ns4:pctHeight>0</ns4:pctHeight>
                </ns4:sizeRelV>
              </ns3:anchor>
            </ns0:drawing>
          </ns0:r>
          <ns0:r ns0:rsidRPr="00FC6417">
            <ns0:rPr>
              <ns0:rFonts ns0:ascii="Times New Roman" ns0:eastAsia="Times New Roman" ns0:hAnsi="Times New Roman" ns0:cs="Times New Roman"/>
              <ns0:b/>
              <ns0:bCs/>
              <ns0:sz ns0:val="18"/>
              <ns0:szCs ns0:val="18"/>
            </ns0:rPr>
            <ns0:t xml:space="preserve">Моделирование, оптимизация и информационные технологии / </ns0:t>
          </ns0:r>
        </ns0:p>
        <ns0:p ns2:paraId="44BE3E01" ns2:textId="77777777" ns0:rsidR="00E754D4" ns0:rsidRPr="00FC6417" ns0:rsidRDefault="00E754D4" ns0:rsidP="00E754D4">
          <ns0:pPr>
            <ns0:tabs>
              <ns0:tab ns0:val="center" ns0:pos="4677"/>
              <ns0:tab ns0:val="right" ns0:pos="9355"/>
            </ns0:tabs>
            <ns0:spacing ns0:after="0" ns0:line="240" ns0:lineRule="auto"/>
            <ns0:rPr>
              <ns0:rFonts ns0:ascii="Times New Roman" ns0:eastAsia="Times New Roman" ns0:hAnsi="Times New Roman" ns0:cs="Times New Roman"/>
              <ns0:sz ns0:val="18"/>
              <ns0:szCs ns0:val="18"/>
              <ns0:lang ns0:val="en-US"/>
            </ns0:rPr>
          </ns0:pPr>
          <ns0:r ns0:rsidRPr="00FC6417">
            <ns0:rPr>
              <ns0:rFonts ns0:ascii="Times New Roman" ns0:eastAsia="Times New Roman" ns0:hAnsi="Times New Roman" ns0:cs="Times New Roman"/>
              <ns0:b/>
              <ns0:bCs/>
              <ns0:sz ns0:val="18"/>
              <ns0:szCs ns0:val="18"/>
              <ns0:lang ns0:val="en-US"/>
            </ns0:rPr>
            <ns0:t xml:space="preserve">Modeling, </ns0:t>
          </ns0:r>
          <ns0:r>
            <ns0:rPr>
              <ns0:rFonts ns0:ascii="Times New Roman" ns0:eastAsia="Times New Roman" ns0:hAnsi="Times New Roman" ns0:cs="Times New Roman"/>
              <ns0:b/>
              <ns0:bCs/>
              <ns0:sz ns0:val="18"/>
              <ns0:szCs ns0:val="18"/>
              <ns0:lang ns0:val="en-US"/>
            </ns0:rPr>
            <ns0:t>O</ns0:t>
          </ns0:r>
          <ns0:r ns0:rsidRPr="00FC6417">
            <ns0:rPr>
              <ns0:rFonts ns0:ascii="Times New Roman" ns0:eastAsia="Times New Roman" ns0:hAnsi="Times New Roman" ns0:cs="Times New Roman"/>
              <ns0:b/>
              <ns0:bCs/>
              <ns0:sz ns0:val="18"/>
              <ns0:szCs ns0:val="18"/>
              <ns0:lang ns0:val="en-US"/>
            </ns0:rPr>
            <ns0:t xml:space="preserve">ptimization and </ns0:t>
          </ns0:r>
          <ns0:r>
            <ns0:rPr>
              <ns0:rFonts ns0:ascii="Times New Roman" ns0:eastAsia="Times New Roman" ns0:hAnsi="Times New Roman" ns0:cs="Times New Roman"/>
              <ns0:b/>
              <ns0:bCs/>
              <ns0:sz ns0:val="18"/>
              <ns0:szCs ns0:val="18"/>
              <ns0:lang ns0:val="en-US"/>
            </ns0:rPr>
            <ns0:t>I</ns0:t>
          </ns0:r>
          <ns0:r ns0:rsidRPr="00FC6417">
            <ns0:rPr>
              <ns0:rFonts ns0:ascii="Times New Roman" ns0:eastAsia="Times New Roman" ns0:hAnsi="Times New Roman" ns0:cs="Times New Roman"/>
              <ns0:b/>
              <ns0:bCs/>
              <ns0:sz ns0:val="18"/>
              <ns0:szCs ns0:val="18"/>
              <ns0:lang ns0:val="en-US"/>
            </ns0:rPr>
            <ns0:t xml:space="preserve">nformation </ns0:t>
          </ns0:r>
          <ns0:r>
            <ns0:rPr>
              <ns0:rFonts ns0:ascii="Times New Roman" ns0:eastAsia="Times New Roman" ns0:hAnsi="Times New Roman" ns0:cs="Times New Roman"/>
              <ns0:b/>
              <ns0:bCs/>
              <ns0:sz ns0:val="18"/>
              <ns0:szCs ns0:val="18"/>
              <ns0:lang ns0:val="en-US"/>
            </ns0:rPr>
            <ns0:t>T</ns0:t>
          </ns0:r>
          <ns0:r ns0:rsidRPr="00FC6417">
            <ns0:rPr>
              <ns0:rFonts ns0:ascii="Times New Roman" ns0:eastAsia="Times New Roman" ns0:hAnsi="Times New Roman" ns0:cs="Times New Roman"/>
              <ns0:b/>
              <ns0:bCs/>
              <ns0:sz ns0:val="18"/>
              <ns0:szCs ns0:val="18"/>
              <ns0:lang ns0:val="en-US"/>
            </ns0:rPr>
            <ns0:t xml:space="preserve">echnology </ns0:t>
          </ns0:r>
        </ns0:p>
      </ns0:tc>
      <ns0:tc>
        <ns0:tcPr>
          <ns0:tcW ns0:w="956" ns0:type="pct"/>
          <ns0:tcBorders>
            <ns0:top ns0:val="thickThinLargeGap" ns0:sz="24" ns0:space="0" ns0:color="323E4F"/>
            <ns0:left ns0:val="single" ns0:sz="24" ns0:space="0" ns0:color="323E4F"/>
            <ns0:bottom ns0:val="thickThinLargeGap" ns0:sz="24" ns0:space="0" ns0:color="323E4F"/>
          </ns0:tcBorders>
          <ns0:shd ns0:val="clear" ns0:color="auto" ns0:fill="D5DCE4"/>
        </ns0:tcPr>
        <ns0:p ns2:paraId="515D8574" ns2:textId="6F7A5359"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rPr>
            <ns0:t>20</ns0:t>
          </ns0:r>
          <ns0:r>
            <ns0:rPr>
              <ns0:rFonts ns0:ascii="Times New Roman" ns0:eastAsia="Times New Roman" ns0:hAnsi="Times New Roman" ns0:cs="Times New Roman"/>
              <ns0:b/>
              <ns0:sz ns0:val="18"/>
              <ns0:szCs ns0:val="18"/>
              <ns0:lang ns0:val="en-US"/>
            </ns0:rPr>
            <ns0:t>2</ns0:t>
          </ns0:r>
          <ns0:r ns0:rsidR="00093DF7">
            <ns0:rPr>
              <ns0:rFonts ns0:ascii="Times New Roman" ns0:eastAsia="Times New Roman" ns0:hAnsi="Times New Roman" ns0:cs="Times New Roman"/>
              <ns0:b/>
              <ns0:sz ns0:val="18"/>
              <ns0:szCs ns0:val="18"/>
            </ns0:rPr>
            <ns0:t>6</ns0:t>
          </ns0:r>
          <ns0:r ns0:rsidRPr="00FC6417">
            <ns0:rPr>
              <ns0:rFonts ns0:ascii="Times New Roman" ns0:eastAsia="Times New Roman" ns0:hAnsi="Times New Roman" ns0:cs="Times New Roman"/>
              <ns0:b/>
              <ns0:sz ns0:val="18"/>
              <ns0:szCs ns0:val="18"/>
            </ns0:rPr>
            <ns0:t>;</ns0:t>
          </ns0:r>
          <ns0:r>
            <ns0:rPr>
              <ns0:rFonts ns0:ascii="Times New Roman" ns0:eastAsia="Times New Roman" ns0:hAnsi="Times New Roman" ns0:cs="Times New Roman"/>
              <ns0:b/>
              <ns0:sz ns0:val="18"/>
              <ns0:szCs ns0:val="18"/>
            </ns0:rPr>
            <ns0:t>1</ns0:t>
          </ns0:r>
          <ns0:r ns0:rsidR="00093DF7">
            <ns0:rPr>
              <ns0:rFonts ns0:ascii="Times New Roman" ns0:eastAsia="Times New Roman" ns0:hAnsi="Times New Roman" ns0:cs="Times New Roman"/>
              <ns0:b/>
              <ns0:sz ns0:val="18"/>
              <ns0:szCs ns0:val="18"/>
            </ns0:rPr>
            <ns0:t>4</ns0:t>
          </ns0:r>
          <ns0:r ns0:rsidRPr="00FC6417">
            <ns0:rPr>
              <ns0:rFonts ns0:ascii="Times New Roman" ns0:eastAsia="Times New Roman" ns0:hAnsi="Times New Roman" ns0:cs="Times New Roman"/>
              <ns0:b/>
              <ns0:sz ns0:val="18"/>
              <ns0:szCs ns0:val="18"/>
            </ns0:rPr>
            <ns0:t>(</ns0:t>
          </ns0:r>
          <ns0:r ns0:rsidR="00093DF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rPr>
            <ns0:t>)</ns0:t>
          </ns0:r>
        </ns0:p>
        <ns0:p ns2:paraId="0BD58BDC" ns2:textId="77777777" ns0:rsidR="00E754D4" ns0:rsidRPr="00FC6417" ns0:rsidRDefault="00E754D4" ns0:rsidP="00E754D4">
          <ns0:pPr>
            <ns0:tabs>
              <ns0:tab ns0:val="center" ns0:pos="4677"/>
              <ns0:tab ns0:val="right" ns0:pos="9355"/>
            </ns0:tabs>
            <ns0:spacing ns0:after="0" ns0:line="240" ns0:lineRule="auto"/>
            <ns0:jc ns0:val="center"/>
            <ns0:rPr>
              <ns0:rFonts ns0:ascii="Times New Roman" ns0:eastAsia="Times New Roman" ns0:hAnsi="Times New Roman" ns0:cs="Times New Roman"/>
              <ns0:b/>
              <ns0:sz ns0:val="18"/>
              <ns0:szCs ns0:val="18"/>
              <ns0:lang ns0:val="en-US"/>
            </ns0:rPr>
          </ns0:pPr>
          <ns0:r ns0:rsidRPr="00FC6417">
            <ns0:rPr>
              <ns0:rFonts ns0:ascii="Times New Roman" ns0:eastAsia="Times New Roman" ns0:hAnsi="Times New Roman" ns0:cs="Times New Roman"/>
              <ns0:b/>
              <ns0:sz ns0:val="18"/>
              <ns0:szCs ns0:val="18"/>
              <ns0:lang ns0:val="en-US"/>
            </ns0:rPr>
            <ns0:t>https</ns0:t>
          </ns0:r>
          <ns0:r ns0:rsidRPr="00FC6417">
            <ns0:rPr>
              <ns0:rFonts ns0:ascii="Times New Roman" ns0:eastAsia="Times New Roman" ns0:hAnsi="Times New Roman" ns0:cs="Times New Roman"/>
              <ns0:b/>
              <ns0:sz ns0:val="18"/>
              <ns0:szCs ns0:val="18"/>
            </ns0:rPr>
            <ns0:t>://</ns0:t>
          </ns0:r>
          <ns0:r ns0:rsidRPr="00FC6417">
            <ns0:rPr>
              <ns0:rFonts ns0:ascii="Times New Roman" ns0:eastAsia="Times New Roman" ns0:hAnsi="Times New Roman" ns0:cs="Times New Roman"/>
              <ns0:b/>
              <ns0:sz ns0:val="18"/>
              <ns0:szCs ns0:val="18"/>
              <ns0:lang ns0:val="en-US"/>
            </ns0:rPr>
            <ns0:t>moitvivt.ru</ns0:t>
          </ns0:r>
          <ns0:bookmarkEnd ns0:id="21"/>
          <ns0:bookmarkEnd ns0:id="22"/>
        </ns0:p>
      </ns0:tc>
    </ns0:tr>
    <ns0:bookmarkEnd ns0:id="23"/>
  </ns0:tbl>
  <ns0:p ns2:paraId="09F9EC88" ns2:textId="77777777" ns0:rsidR="00C6418A" ns0:rsidRDefault="00C6418A">
    <ns0:pPr>
      <ns0:pStyle ns0:val="aff"/>
      <ns0:rPr>
        <ns0:rFonts ns0:ascii="Times New Roman" ns0:hAnsi="Times New Roman" ns0:cs="Times New Roman"/>
        <ns0:sz ns0:val="24"/>
        <ns0:szCs ns0:val="24"/>
      </ns0:rPr>
    </ns0:pPr>
  </ns0:p>
</ns0: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2674</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Многоязычные данные для выбора фрагментов в научных текстах: подготовка, контроль качества и сравнительная оценка</dc:title>
  <dc:subject>Многоязычные данные и сравнительная оценка выбора фрагментов в научных текстах</dc:subject>
  <dc:creator>[Ф.И.О. автора]</dc:creator>
  <cp:keywords>обработка естественного языка, научные тексты, выбор фрагмента, извлечение ответа, многоязычный корпус, сложные отрицательные примеры, сравнительная оценка, воспроизводимость</cp:keywords>
  <dc:description/>
  <cp:lastModifiedBy>User</cp:lastModifiedBy>
  <cp:revision>4</cp:revision>
  <dcterms:created xsi:type="dcterms:W3CDTF">2025-01-13T09:03:00Z</dcterms:created>
  <dcterms:modified xsi:type="dcterms:W3CDTF">2025-01-16T11:24:00Z</dcterms:modified>
</cp:coreProperties>
</file>