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240" w:lineRule="auto" w:after="0"/>
        <w:jc w:val="left"/>
      </w:pPr>
      <w:r>
        <w:rPr>
          <w:rFonts w:ascii="Times New Roman" w:hAnsi="Times New Roman" w:eastAsia="Times New Roman"/>
          <w:b w:val="0"/>
          <w:i w:val="0"/>
          <w:sz w:val="24"/>
        </w:rPr>
        <w:t>УДК 004.8:004.912</w:t>
      </w:r>
    </w:p>
    <w:p>
      <w:pPr>
        <w:spacing w:line="240" w:lineRule="auto" w:after="0"/>
        <w:jc w:val="left"/>
      </w:pPr>
      <w:r>
        <w:rPr>
          <w:rFonts w:ascii="Times New Roman" w:hAnsi="Times New Roman" w:eastAsia="Times New Roman"/>
          <w:b w:val="0"/>
          <w:i w:val="0"/>
          <w:sz w:val="24"/>
        </w:rPr>
        <w:t>DOI: [будет присвоен редакцией]</w:t>
      </w:r>
    </w:p>
    <w:p>
      <w:pPr>
        <w:keepNext/>
        <w:spacing w:line="240" w:lineRule="auto" w:after="240" w:before="240"/>
        <w:jc w:val="center"/>
      </w:pPr>
      <w:r>
        <w:rPr>
          <w:rFonts w:ascii="Times New Roman" w:hAnsi="Times New Roman" w:eastAsia="Times New Roman"/>
          <w:b/>
          <w:i w:val="0"/>
          <w:sz w:val="32"/>
        </w:rPr>
        <w:t>Программный конвейер подготовки многоязычных данных для алгоритмов выбора фрагментов научного текста</w:t>
      </w:r>
    </w:p>
    <w:p>
      <w:pPr>
        <w:spacing w:line="240" w:lineRule="auto" w:after="120"/>
        <w:jc w:val="center"/>
      </w:pPr>
      <w:r>
        <w:rPr>
          <w:rFonts w:ascii="Times New Roman" w:hAnsi="Times New Roman" w:eastAsia="Times New Roman"/>
          <w:b/>
          <w:i w:val="0"/>
          <w:sz w:val="24"/>
        </w:rPr>
        <w:t>[Ф.И.О. автора]</w:t>
      </w:r>
      <w:r>
        <w:rPr>
          <w:rFonts w:ascii="Times New Roman" w:hAnsi="Times New Roman" w:eastAsia="Times New Roman"/>
          <w:b/>
          <w:i w:val="0"/>
          <w:sz w:val="24"/>
          <w:vertAlign w:val="superscript"/>
        </w:rPr>
        <w:t>1</w:t>
      </w:r>
      <w:r>
        <w:rPr>
          <w:rFonts w:ascii="Times New Roman" w:hAnsi="Times New Roman" w:eastAsia="Times New Roman"/>
          <w:b/>
          <w:i w:val="0"/>
          <w:sz w:val="24"/>
          <w:vertAlign w:val="superscript"/>
        </w:rPr>
        <w:t>*</w:t>
      </w:r>
    </w:p>
    <w:p>
      <w:pPr>
        <w:spacing w:line="240" w:lineRule="auto" w:after="120"/>
        <w:jc w:val="center"/>
      </w:pPr>
      <w:r>
        <w:rPr>
          <w:rFonts w:ascii="Times New Roman" w:hAnsi="Times New Roman" w:eastAsia="Times New Roman"/>
          <w:b w:val="0"/>
          <w:i/>
          <w:sz w:val="24"/>
          <w:vertAlign w:val="superscript"/>
        </w:rPr>
        <w:t>1</w:t>
      </w:r>
      <w:r>
        <w:rPr>
          <w:rFonts w:ascii="Times New Roman" w:hAnsi="Times New Roman" w:eastAsia="Times New Roman"/>
          <w:b w:val="0"/>
          <w:i/>
          <w:sz w:val="24"/>
        </w:rPr>
        <w:t>[Полное название организации], [город], [страна]</w:t>
      </w:r>
    </w:p>
    <w:p>
      <w:pPr>
        <w:spacing w:line="240" w:lineRule="auto" w:after="0" w:before="120"/>
        <w:jc w:val="both"/>
      </w:pPr>
      <w:r>
        <w:rPr>
          <w:rFonts w:ascii="Times New Roman" w:hAnsi="Times New Roman" w:eastAsia="Times New Roman"/>
          <w:b/>
          <w:i/>
          <w:sz w:val="24"/>
        </w:rPr>
        <w:t>Резюме.</w:t>
      </w:r>
      <w:r>
        <w:rPr>
          <w:rFonts w:ascii="Times New Roman" w:hAnsi="Times New Roman" w:eastAsia="Times New Roman"/>
          <w:b w:val="0"/>
          <w:i w:val="0"/>
          <w:sz w:val="24"/>
        </w:rPr>
        <w:t xml:space="preserve"> Рассматривается программный конвейер формирования многоязычных наборов данных для алгоритмов выбора подтверждающего фрагмента в научном документе. Входными источниками служат английские корпуса SciREX и SciER и русские корпуса RuSERRC и SciMDIX, различающиеся структурой документов, системой аспектов и плотностью аннотаций. Конвейер реализует единый формат промежуточного представления, детерминированное разбиение текста, перенос символьных и токенных границ, формирование пяти вариантов запроса для каждого аспекта, построение сложных отрицательных примеров и контроль возможности извлечения ответа. Корректность преобразований задаётся проверяемыми инвариантами: воспроизводимость исходных файлов по версии и контрольной сумме, совпадение сохранённого фрагмента с подстрокой документа, непересечение документов между частями выборки и наличие положительного кандидата у каждого обучающего экземпляра. Для SciER исследованы две конфигурации сегментации: 128 токенов с перекрытием 24 токена и 384 токена с перекрытием 50 токенов. Программная реализация сохраняет исключённые и неоднозначные экземпляры в аудиторском слое, поэтому изменение модели извлечения ответа не требует повторного восстановления исходной разметки. Вычислительный эксперимент проведён на фиксированных тестовых подвыборках с группировкой по документам. Установлено, что параметры сегментации меняют состав пространства кандидатов и долю вопросов с извлекаемым ответом. Для русскоязычных данных наибольший вклад в качество вносит базовый алгоритм ранжирования; для английских полнотекстовых документов дополнительную пользу дают признаки модели извлечения ответа. Полученный конвейер предназначен для воспроизводимой подготовки данных, проверки алгоритмов ранжирования и локализации источника ошибки в многоступенчатых системах обработки научного текста.</w:t>
      </w:r>
    </w:p>
    <w:p>
      <w:pPr>
        <w:spacing w:line="240" w:lineRule="auto" w:after="0" w:before="120"/>
        <w:jc w:val="both"/>
      </w:pPr>
      <w:r>
        <w:rPr>
          <w:rFonts w:ascii="Times New Roman" w:hAnsi="Times New Roman" w:eastAsia="Times New Roman"/>
          <w:b/>
          <w:i/>
          <w:sz w:val="24"/>
        </w:rPr>
        <w:t>Ключевые слова:</w:t>
      </w:r>
      <w:r>
        <w:rPr>
          <w:rFonts w:ascii="Times New Roman" w:hAnsi="Times New Roman" w:eastAsia="Times New Roman"/>
          <w:b w:val="0"/>
          <w:i w:val="0"/>
          <w:sz w:val="24"/>
        </w:rPr>
        <w:t xml:space="preserve"> программный конвейер, модель данных, обработка естественного языка, научный текст, выбор фрагмента, ранжирование, извлечение ответа, верификация данных, вычислительный эксперимент, воспроизводимость.</w:t>
      </w:r>
    </w:p>
    <w:p>
      <w:pPr>
        <w:spacing w:line="240" w:lineRule="auto" w:after="0" w:before="120"/>
        <w:jc w:val="both"/>
      </w:pPr>
      <w:r>
        <w:rPr>
          <w:rFonts w:ascii="Times New Roman" w:hAnsi="Times New Roman" w:eastAsia="Times New Roman"/>
          <w:b/>
          <w:i/>
          <w:sz w:val="24"/>
        </w:rPr>
        <w:t>Благодарности:</w:t>
      </w:r>
      <w:r>
        <w:rPr>
          <w:rFonts w:ascii="Times New Roman" w:hAnsi="Times New Roman" w:eastAsia="Times New Roman"/>
          <w:b w:val="0"/>
          <w:i w:val="0"/>
          <w:sz w:val="24"/>
        </w:rPr>
        <w:t xml:space="preserve"> [указать при наличии].</w:t>
      </w:r>
    </w:p>
    <w:p>
      <w:pPr>
        <w:spacing w:line="240" w:lineRule="auto" w:after="0" w:before="120"/>
        <w:jc w:val="both"/>
      </w:pPr>
      <w:r>
        <w:rPr>
          <w:rFonts w:ascii="Times New Roman" w:hAnsi="Times New Roman" w:eastAsia="Times New Roman"/>
          <w:b/>
          <w:i/>
          <w:sz w:val="24"/>
        </w:rPr>
        <w:t>Для цитирования:</w:t>
      </w:r>
      <w:r>
        <w:rPr>
          <w:rFonts w:ascii="Times New Roman" w:hAnsi="Times New Roman" w:eastAsia="Times New Roman"/>
          <w:b w:val="0"/>
          <w:i w:val="0"/>
          <w:sz w:val="24"/>
        </w:rPr>
        <w:t xml:space="preserve"> [Фамилия И.О.] Программный конвейер подготовки многоязычных данных для алгоритмов выбора фрагментов научного текста. Моделирование, оптимизация и информационные технологии. 2026;14(*). DOI: [будет присвоен редакцией].</w:t>
      </w:r>
    </w:p>
    <w:p>
      <w:pPr>
        <w:keepNext/>
        <w:spacing w:line="240" w:lineRule="auto" w:after="240" w:before="240"/>
        <w:jc w:val="center"/>
      </w:pPr>
      <w:r>
        <w:rPr>
          <w:rFonts w:ascii="Times New Roman" w:hAnsi="Times New Roman" w:eastAsia="Times New Roman"/>
          <w:b/>
          <w:i w:val="0"/>
          <w:sz w:val="32"/>
          <w:lang w:val="en-US"/>
        </w:rPr>
        <w:t>A Software Pipeline for Preparing Multilingual Data for Scientific-Text Fragment Selection Algorithms</w:t>
      </w:r>
    </w:p>
    <w:p>
      <w:pPr>
        <w:spacing w:line="240" w:lineRule="auto" w:after="120"/>
        <w:jc w:val="center"/>
      </w:pPr>
      <w:r>
        <w:rPr>
          <w:rFonts w:ascii="Times New Roman" w:hAnsi="Times New Roman" w:eastAsia="Times New Roman"/>
          <w:b/>
          <w:i w:val="0"/>
          <w:sz w:val="24"/>
          <w:lang w:val="en-US"/>
        </w:rPr>
        <w:t>[Author full name]</w:t>
      </w:r>
      <w:r>
        <w:rPr>
          <w:rFonts w:ascii="Times New Roman" w:hAnsi="Times New Roman" w:eastAsia="Times New Roman"/>
          <w:b/>
          <w:i w:val="0"/>
          <w:sz w:val="24"/>
          <w:vertAlign w:val="superscript"/>
          <w:lang w:val="en-US"/>
        </w:rPr>
        <w:t>1</w:t>
      </w:r>
      <w:r>
        <w:rPr>
          <w:rFonts w:ascii="Times New Roman" w:hAnsi="Times New Roman" w:eastAsia="Times New Roman"/>
          <w:b/>
          <w:i w:val="0"/>
          <w:sz w:val="24"/>
          <w:vertAlign w:val="superscript"/>
          <w:lang w:val="en-US"/>
        </w:rPr>
        <w:t>*</w:t>
      </w:r>
    </w:p>
    <w:p>
      <w:pPr>
        <w:spacing w:line="240" w:lineRule="auto" w:after="120"/>
        <w:jc w:val="center"/>
      </w:pPr>
      <w:r>
        <w:rPr>
          <w:rFonts w:ascii="Times New Roman" w:hAnsi="Times New Roman" w:eastAsia="Times New Roman"/>
          <w:b w:val="0"/>
          <w:i/>
          <w:sz w:val="24"/>
          <w:vertAlign w:val="superscript"/>
          <w:lang w:val="en-US"/>
        </w:rPr>
        <w:t>1</w:t>
      </w:r>
      <w:r>
        <w:rPr>
          <w:rFonts w:ascii="Times New Roman" w:hAnsi="Times New Roman" w:eastAsia="Times New Roman"/>
          <w:b w:val="0"/>
          <w:i/>
          <w:sz w:val="24"/>
          <w:lang w:val="en-US"/>
        </w:rPr>
        <w:t>[Full organization name], [city], [country]</w:t>
      </w:r>
    </w:p>
    <w:p>
      <w:pPr>
        <w:spacing w:line="240" w:lineRule="auto" w:after="0" w:before="120"/>
        <w:jc w:val="both"/>
      </w:pPr>
      <w:r>
        <w:rPr>
          <w:rFonts w:ascii="Times New Roman" w:hAnsi="Times New Roman" w:eastAsia="Times New Roman"/>
          <w:b/>
          <w:i/>
          <w:sz w:val="24"/>
          <w:lang w:val="en-US"/>
        </w:rPr>
        <w:t>Abstract.</w:t>
      </w:r>
      <w:r>
        <w:rPr>
          <w:rFonts w:ascii="Times New Roman" w:hAnsi="Times New Roman" w:eastAsia="Times New Roman"/>
          <w:b w:val="0"/>
          <w:i w:val="0"/>
          <w:sz w:val="24"/>
          <w:lang w:val="en-US"/>
        </w:rPr>
        <w:t xml:space="preserve"> The paper presents a software pipeline for constructing multilingual datasets used to evaluate supporting-fragment selection algorithms within scientific documents. The input resources are the English SciREX and SciER corpora and the Russian RuSERRC and SciMDIX corpora, which differ in document structure, aspect taxonomy, and annotation density. The pipeline implements a unified intermediate representation, deterministic text segmentation, character- and token-boundary transfer, five query variants per aspect, hard-negative construction, and extractive-answerability control. Transformation correctness is specified through machine-checkable invariants: reproducible source files identified by revisions and checksums, exact correspondence between stored fragments and document substrings, document-level separation of data partitions, and at least one positive candidate for every training instance. Two SciER segmentation configurations are examined: 128 tokens with a 24-token overlap and 384 tokens with a 50-token overlap. Excluded and ambiguous instances are retained in an audit layer, allowing the answer-extraction model to be replaced without reconstructing the source annotation. The computational experiment uses fixed test subsets grouped by document. Segmentation parameters are shown to alter both the candidate space and the proportion of answerable questions. On Russian data, performance is determined primarily by the base ranking algorithm; on English full-text documents, features produced by the answer-extraction model provide additional benefit. The resulting pipeline supports reproducible data preparation, ranking-algorithm evaluation, and error localization in multistage scientific-text processing systems.</w:t>
      </w:r>
    </w:p>
    <w:p>
      <w:pPr>
        <w:spacing w:line="240" w:lineRule="auto" w:after="0" w:before="120"/>
        <w:jc w:val="both"/>
      </w:pPr>
      <w:r>
        <w:rPr>
          <w:rFonts w:ascii="Times New Roman" w:hAnsi="Times New Roman" w:eastAsia="Times New Roman"/>
          <w:b/>
          <w:i/>
          <w:sz w:val="24"/>
          <w:lang w:val="en-US"/>
        </w:rPr>
        <w:t>Keywords:</w:t>
      </w:r>
      <w:r>
        <w:rPr>
          <w:rFonts w:ascii="Times New Roman" w:hAnsi="Times New Roman" w:eastAsia="Times New Roman"/>
          <w:b w:val="0"/>
          <w:i w:val="0"/>
          <w:sz w:val="24"/>
          <w:lang w:val="en-US"/>
        </w:rPr>
        <w:t xml:space="preserve"> software pipeline, data model, natural language processing, scientific text, fragment selection, ranking, extractive question answering, data verification, computational experiment, reproducibility.</w:t>
      </w:r>
    </w:p>
    <w:p>
      <w:pPr>
        <w:spacing w:line="240" w:lineRule="auto" w:after="0" w:before="120"/>
        <w:jc w:val="both"/>
      </w:pPr>
      <w:r>
        <w:rPr>
          <w:rFonts w:ascii="Times New Roman" w:hAnsi="Times New Roman" w:eastAsia="Times New Roman"/>
          <w:b/>
          <w:i/>
          <w:sz w:val="24"/>
          <w:lang w:val="en-US"/>
        </w:rPr>
        <w:t>Acknowledgements:</w:t>
      </w:r>
      <w:r>
        <w:rPr>
          <w:rFonts w:ascii="Times New Roman" w:hAnsi="Times New Roman" w:eastAsia="Times New Roman"/>
          <w:b w:val="0"/>
          <w:i w:val="0"/>
          <w:sz w:val="24"/>
          <w:lang w:val="en-US"/>
        </w:rPr>
        <w:t xml:space="preserve"> [to be provided if applicable].</w:t>
      </w:r>
    </w:p>
    <w:p>
      <w:pPr>
        <w:spacing w:line="240" w:lineRule="auto" w:after="0" w:before="120"/>
        <w:jc w:val="both"/>
      </w:pPr>
      <w:r>
        <w:rPr>
          <w:rFonts w:ascii="Times New Roman" w:hAnsi="Times New Roman" w:eastAsia="Times New Roman"/>
          <w:b/>
          <w:i/>
          <w:sz w:val="24"/>
          <w:lang w:val="en-US"/>
        </w:rPr>
        <w:t>For citation:</w:t>
      </w:r>
      <w:r>
        <w:rPr>
          <w:rFonts w:ascii="Times New Roman" w:hAnsi="Times New Roman" w:eastAsia="Times New Roman"/>
          <w:b w:val="0"/>
          <w:i w:val="0"/>
          <w:sz w:val="24"/>
          <w:lang w:val="en-US"/>
        </w:rPr>
        <w:t xml:space="preserve"> [Author surname and initials]. A Software Pipeline for Preparing Multilingual Data for Scientific-Text Fragment Selection Algorithms. Modeling, Optimization and Information Technology. 2026;14(*). (In Russ.). DOI: [to be assigned].</w:t>
      </w:r>
    </w:p>
    <w:p>
      <w:pPr>
        <w:keepNext/>
        <w:spacing w:line="240" w:lineRule="auto" w:after="120" w:before="240"/>
        <w:jc w:val="center"/>
      </w:pPr>
      <w:r>
        <w:rPr>
          <w:rFonts w:ascii="Times New Roman" w:hAnsi="Times New Roman" w:eastAsia="Times New Roman"/>
          <w:b/>
          <w:i w:val="0"/>
          <w:sz w:val="24"/>
        </w:rPr>
        <w:t>Введение</w:t>
      </w:r>
    </w:p>
    <w:p>
      <w:pPr>
        <w:spacing w:line="240" w:lineRule="auto" w:after="0"/>
        <w:ind w:firstLine="709"/>
        <w:jc w:val="both"/>
      </w:pPr>
      <w:r>
        <w:rPr>
          <w:rFonts w:ascii="Times New Roman" w:hAnsi="Times New Roman" w:eastAsia="Times New Roman"/>
          <w:b w:val="0"/>
          <w:i w:val="0"/>
          <w:sz w:val="24"/>
        </w:rPr>
        <w:t>Автоматизированный анализ научных публикаций требует локализации текстового фрагмента, содержащего сведения о методе, задаче, материале, результате или ином заданном аспекте. В рассматриваемой постановке документ известен заранее; алгоритм должен упорядочить его фрагменты относительно вопроса и передать модели извлечения ответа ограниченное число кандидатов. Ошибка ранжирования на этом этапе распространяется на все последующие компоненты программной системы. Для полнотекстовой статьи задача особенно сложна: терминологически близкие упоминания распределены между аннотацией, описанием метода, экспериментальным разделом, таблицами и выводами.</w:t>
      </w:r>
    </w:p>
    <w:p>
      <w:pPr>
        <w:spacing w:line="240" w:lineRule="auto" w:after="0"/>
        <w:ind w:firstLine="709"/>
        <w:jc w:val="both"/>
      </w:pPr>
      <w:r>
        <w:rPr>
          <w:rFonts w:ascii="Times New Roman" w:hAnsi="Times New Roman" w:eastAsia="Times New Roman"/>
          <w:b w:val="0"/>
          <w:i w:val="0"/>
          <w:sz w:val="24"/>
        </w:rPr>
        <w:t>Доступные корпуса научного текста несовместимы на уровне форматов и единиц аннотации. SciREX описывает сущности типов «метод», «задача», «метрика» и «набор данных» в полном документе [1]. RuSERRC содержит русскоязычные научно-технические тексты с разметкой сущностей, отношений и аспектов [2, 3]. В SciMDIX представлены русские и казахские научные аннотации четырёх предметных областей с отдельными слоями аспектов, сущностей и отношений [4, 5]. SciER включает 106 полнотекстовых статей, более 24 тыс. упоминаний сущностей и более 12 тыс. отношений, а также внераспределительную тестовую часть [6]. Различия затрагивают длину документа, систему координат разметки и число кандидатных фрагментов. Поэтому единая экспериментальная среда требует не механического объединения файлов, а формализованного преобразования с контролем инвариантов.</w:t>
      </w:r>
    </w:p>
    <w:p>
      <w:pPr>
        <w:spacing w:line="240" w:lineRule="auto" w:after="0"/>
        <w:ind w:firstLine="709"/>
        <w:jc w:val="both"/>
      </w:pPr>
      <w:r>
        <w:rPr>
          <w:rFonts w:ascii="Times New Roman" w:hAnsi="Times New Roman" w:eastAsia="Times New Roman"/>
          <w:b w:val="0"/>
          <w:i w:val="0"/>
          <w:sz w:val="24"/>
        </w:rPr>
        <w:t>Критическим свойством такого преобразования является сохранение семантики меток. Фрагмент без целевой аннотации нельзя автоматически считать отрицательным: один ответ может подтверждаться несколькими участками документа [7, 8]. Семантическая близость также не эквивалентна возможности извлечь ответ [9]. Если эти случаи смешать, в обучающей выборке появляются противоречащие друг другу пары. В разработанном конвейере официальная аннотация, результат модели извлечения ответа и оценка семантической близости хранятся раздельно и объединяются только по явному правилу.</w:t>
      </w:r>
    </w:p>
    <w:p>
      <w:pPr>
        <w:spacing w:line="240" w:lineRule="auto" w:after="0"/>
        <w:ind w:firstLine="709"/>
        <w:jc w:val="both"/>
      </w:pPr>
      <w:r>
        <w:rPr>
          <w:rFonts w:ascii="Times New Roman" w:hAnsi="Times New Roman" w:eastAsia="Times New Roman"/>
          <w:b w:val="0"/>
          <w:i w:val="0"/>
          <w:sz w:val="24"/>
        </w:rPr>
        <w:t>Дополнительную неопределённость создаёт модель извлечения ответа. Значения её уверенности, полученные на разных фрагментах, могут быть несопоставимы; эта проблема известна для многофрагментных архитектур [10]. Следовательно, ответоспособность экземпляра определяется не только корпусом. Она зависит от формулировки вопроса, параметров сегментации и конкретной модели. Для повторяемого вычислительного эксперимента необходимо фиксировать всю цепочку преобразований, включая причины исключения экземпляра и версию каждого программного компонента.</w:t>
      </w:r>
    </w:p>
    <w:p>
      <w:pPr>
        <w:spacing w:line="240" w:lineRule="auto" w:after="0"/>
        <w:ind w:firstLine="709"/>
        <w:jc w:val="both"/>
      </w:pPr>
      <w:r>
        <w:rPr>
          <w:rFonts w:ascii="Times New Roman" w:hAnsi="Times New Roman" w:eastAsia="Times New Roman"/>
          <w:b w:val="0"/>
          <w:i w:val="0"/>
          <w:sz w:val="24"/>
        </w:rPr>
        <w:t>Объект исследования представляет собой программный процесс формирования и проверки данных для многоступенчатой системы вопросно-ориентированного поиска фрагментов. Предмет исследования составляют модели данных, алгоритмы преобразования и программные средства контроля их корректности. Цель работы заключается в разработке воспроизводимого конвейера, приводящего разнородные многоязычные корпуса к единому экспериментальному представлению. Для достижения цели решаются задачи нормализации исходной разметки, детерминированной сегментации, построения классов кандидатов, защиты от межвыборочной утечки и сравнительной проверки алгоритмов на фиксированных тестовых частях.</w:t>
      </w:r>
    </w:p>
    <w:p>
      <w:pPr>
        <w:keepNext/>
        <w:spacing w:line="240" w:lineRule="auto" w:after="120" w:before="240"/>
        <w:jc w:val="center"/>
      </w:pPr>
      <w:r>
        <w:rPr>
          <w:rFonts w:ascii="Times New Roman" w:hAnsi="Times New Roman" w:eastAsia="Times New Roman"/>
          <w:b/>
          <w:i w:val="0"/>
          <w:sz w:val="24"/>
        </w:rPr>
        <w:t>Материалы и методы</w:t>
      </w:r>
    </w:p>
    <w:p>
      <w:pPr>
        <w:keepNext/>
        <w:spacing w:line="240" w:lineRule="auto" w:after="0" w:before="120"/>
        <w:jc w:val="left"/>
      </w:pPr>
      <w:r>
        <w:rPr>
          <w:rFonts w:ascii="Times New Roman" w:hAnsi="Times New Roman" w:eastAsia="Times New Roman"/>
          <w:b/>
          <w:i w:val="0"/>
          <w:sz w:val="24"/>
        </w:rPr>
        <w:t>Архитектура программного конвейера и модель данных</w:t>
      </w:r>
    </w:p>
    <w:p>
      <w:pPr>
        <w:spacing w:line="240" w:lineRule="auto" w:after="0"/>
        <w:ind w:firstLine="709"/>
        <w:jc w:val="both"/>
      </w:pPr>
      <w:r>
        <w:rPr>
          <w:rFonts w:ascii="Times New Roman" w:hAnsi="Times New Roman" w:eastAsia="Times New Roman"/>
          <w:b w:val="0"/>
          <w:i w:val="0"/>
          <w:sz w:val="24"/>
        </w:rPr>
        <w:t>Конвейер построен как последовательность независимых преобразований с сохранением промежуточных результатов. Слой источников содержит адрес репозитория, идентификатор версии, размер и SHA-256 каждого файла. Слой нормализации приводит текст и координаты аннотаций к единой системе отсчёта. Слой сегментации формирует перекрывающиеся фрагменты и связывает каждый из них с документом, диапазоном символов и диапазоном токенов. Экспериментальный слой хранит вопрос, аспект, множество кандидатов, признаки ранжирования и класс кандидата. Аудиторский слой включает отбракованные и неоднозначные экземпляры вместе с кодом причины. Такое разделение позволяет повторно выполнить отдельный этап, не изменяя исходные данные и результаты предыдущих этапов.</w:t>
      </w:r>
    </w:p>
    <w:p>
      <w:pPr>
        <w:spacing w:line="240" w:lineRule="auto" w:after="0"/>
        <w:ind w:firstLine="709"/>
        <w:jc w:val="both"/>
      </w:pPr>
      <w:r>
        <w:rPr>
          <w:rFonts w:ascii="Times New Roman" w:hAnsi="Times New Roman" w:eastAsia="Times New Roman"/>
          <w:b w:val="0"/>
          <w:i w:val="0"/>
          <w:sz w:val="24"/>
        </w:rPr>
        <w:t>Для каждого аспекта задавались пять русско- или англоязычных формулировок вопроса. Основной вариант применялся в исходной конфигурации; выбор другого варианта допускался только по обучающей части перекрёстной проверки. Модель извлечения ответа обрабатывала все кандидатные фрагменты. Положительная метка присваивалась фрагменту при одновременном выполнении двух условий: он содержал официальное подтверждение, а извлечённый ответ согласовывался с эталонной аннотацией. Если первое условие выполнялось, а второе нет, фрагмент помещался в неоднозначный класс. В отрицательные примеры он не включался.</w:t>
      </w:r>
    </w:p>
    <w:p>
      <w:pPr>
        <w:spacing w:line="240" w:lineRule="auto" w:after="0"/>
        <w:ind w:firstLine="709"/>
        <w:jc w:val="both"/>
      </w:pPr>
      <w:r>
        <w:rPr>
          <w:rFonts w:ascii="Times New Roman" w:hAnsi="Times New Roman" w:eastAsia="Times New Roman"/>
          <w:b w:val="0"/>
          <w:i w:val="0"/>
          <w:sz w:val="24"/>
        </w:rPr>
        <w:t>Сложные отрицательные примеры формировались в два этапа. Сначала BM25 выбирал пять наиболее близких фрагментов, не имеющих положительной метки. Затем кластеризация векторных представлений выделяла кандидатов, которые могли содержать альтернативное подтверждение. Эти кандидаты получали статус вероятных ложноотрицательных и исключались из обучающих пар. Процедура согласуется с подходами к очистке сложных отрицательных примеров [7] и учёту нескольких допустимых контекстов [8]. Аннотация другого аспекта не являлась достаточным основанием для отрицательной метки.</w:t>
      </w:r>
    </w:p>
    <w:p>
      <w:pPr>
        <w:spacing w:line="240" w:lineRule="auto" w:after="0"/>
        <w:ind w:firstLine="709"/>
        <w:jc w:val="both"/>
      </w:pPr>
      <w:r>
        <w:rPr>
          <w:rFonts w:ascii="Times New Roman" w:hAnsi="Times New Roman" w:eastAsia="Times New Roman"/>
          <w:b w:val="0"/>
          <w:i w:val="0"/>
          <w:sz w:val="24"/>
        </w:rPr>
        <w:t>На выходе преобразования использовались пять взаимно исключающих классов: подтверждённый положительный фрагмент; официальный фрагмент без согласованного ответа модели; вероятный ложноотрицательный кандидат; сложный отрицательный фрагмент; простой отрицательный фрагмент. Программные проверки контролировали четыре инварианта: сохранённый текст совпадает с подстрокой документа; координаты лежат в допустимом диапазоне; документ принадлежит ровно одной части выборки; каждый экземпляр, переданный в обучение или перекрёстную проверку, содержит не менее одного подтверждённого положительного фрагмента. Полная совокупность экземпляров оставалась в аудиторских файлах.</w:t>
      </w:r>
    </w:p>
    <w:p>
      <w:pPr>
        <w:keepNext/>
        <w:spacing w:line="240" w:lineRule="auto" w:after="0" w:before="240"/>
        <w:jc w:val="both"/>
      </w:pPr>
      <w:r>
        <w:rPr>
          <w:rFonts w:ascii="Times New Roman" w:hAnsi="Times New Roman" w:eastAsia="Times New Roman"/>
          <w:b w:val="0"/>
          <w:i w:val="0"/>
          <w:sz w:val="24"/>
        </w:rPr>
        <w:t>Таблица 1 - Характеристики входных корпусов и параметры сегментации</w:t>
      </w:r>
    </w:p>
    <w:p>
      <w:pPr>
        <w:keepNext/>
        <w:spacing w:line="240" w:lineRule="auto" w:after="120"/>
        <w:jc w:val="both"/>
      </w:pPr>
      <w:r>
        <w:rPr>
          <w:rFonts w:ascii="Times New Roman" w:hAnsi="Times New Roman" w:eastAsia="Times New Roman"/>
          <w:b w:val="0"/>
          <w:i w:val="0"/>
          <w:sz w:val="24"/>
          <w:lang w:val="en-US"/>
        </w:rPr>
        <w:t>Table 1 - Input-corpus characteristics and segmentation parameters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14"/>
        <w:gridCol w:w="1814"/>
        <w:gridCol w:w="1814"/>
        <w:gridCol w:w="1814"/>
        <w:gridCol w:w="1814"/>
      </w:tblGrid>
      <w:tr>
        <w:trPr>
          <w:tblHeader w:val="true"/>
          <w:cantSplit/>
        </w:trPr>
        <w:tc>
          <w:tcPr>
            <w:tcW w:type="dxa" w:w="113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Конфигурация</w:t>
            </w:r>
          </w:p>
        </w:tc>
        <w:tc>
          <w:tcPr>
            <w:tcW w:type="dxa" w:w="175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Язык и тип документа</w:t>
            </w:r>
          </w:p>
        </w:tc>
        <w:tc>
          <w:tcPr>
            <w:tcW w:type="dxa" w:w="141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Официальные части</w:t>
            </w:r>
          </w:p>
        </w:tc>
        <w:tc>
          <w:tcPr>
            <w:tcW w:type="dxa" w:w="175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Аспекты</w:t>
            </w:r>
          </w:p>
        </w:tc>
        <w:tc>
          <w:tcPr>
            <w:tcW w:type="dxa" w:w="1701"/>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Разбиение на фрагменты</w:t>
            </w:r>
          </w:p>
        </w:tc>
      </w:tr>
      <w:tr>
        <w:trPr>
          <w:cantSplit/>
        </w:trPr>
        <w:tc>
          <w:tcPr>
            <w:tcW w:type="dxa" w:w="1134"/>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SciREX</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английский, научные статьи</w:t>
            </w:r>
          </w:p>
        </w:tc>
        <w:tc>
          <w:tcPr>
            <w:tcW w:type="dxa" w:w="141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официальные обучающая, проверочная и тестовая</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метод, задача, метрика, материал</w:t>
            </w:r>
          </w:p>
        </w:tc>
        <w:tc>
          <w:tcPr>
            <w:tcW w:type="dxa" w:w="170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английская схема, до 384 токенов</w:t>
            </w:r>
          </w:p>
        </w:tc>
      </w:tr>
      <w:tr>
        <w:trPr>
          <w:cantSplit/>
        </w:trPr>
        <w:tc>
          <w:tcPr>
            <w:tcW w:type="dxa" w:w="1134"/>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SciER-384</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английский, полные статьи</w:t>
            </w:r>
          </w:p>
        </w:tc>
        <w:tc>
          <w:tcPr>
            <w:tcW w:type="dxa" w:w="141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80/10/10/6 документов</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материал, метод, задача</w:t>
            </w:r>
          </w:p>
        </w:tc>
        <w:tc>
          <w:tcPr>
            <w:tcW w:type="dxa" w:w="170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384 токена, перекрытие 50</w:t>
            </w:r>
          </w:p>
        </w:tc>
      </w:tr>
      <w:tr>
        <w:trPr>
          <w:cantSplit/>
        </w:trPr>
        <w:tc>
          <w:tcPr>
            <w:tcW w:type="dxa" w:w="1134"/>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SciER-128</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английский, те же статьи</w:t>
            </w:r>
          </w:p>
        </w:tc>
        <w:tc>
          <w:tcPr>
            <w:tcW w:type="dxa" w:w="141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80/10/10/6 документов</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материал, метод, задача</w:t>
            </w:r>
          </w:p>
        </w:tc>
        <w:tc>
          <w:tcPr>
            <w:tcW w:type="dxa" w:w="170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128 токенов, перекрытие 24</w:t>
            </w:r>
          </w:p>
        </w:tc>
      </w:tr>
      <w:tr>
        <w:trPr>
          <w:cantSplit/>
        </w:trPr>
        <w:tc>
          <w:tcPr>
            <w:tcW w:type="dxa" w:w="1134"/>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RuSERRC</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русский, научно-технические тексты</w:t>
            </w:r>
          </w:p>
        </w:tc>
        <w:tc>
          <w:tcPr>
            <w:tcW w:type="dxa" w:w="141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детерминированное разбиение</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9 аспектов</w:t>
            </w:r>
          </w:p>
        </w:tc>
        <w:tc>
          <w:tcPr>
            <w:tcW w:type="dxa" w:w="170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128 токенов, языково-специфичная сегментация</w:t>
            </w:r>
          </w:p>
        </w:tc>
      </w:tr>
      <w:tr>
        <w:trPr>
          <w:cantSplit/>
        </w:trPr>
        <w:tc>
          <w:tcPr>
            <w:tcW w:type="dxa" w:w="1134"/>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SciMDIX</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русский, научные аннотации</w:t>
            </w:r>
          </w:p>
        </w:tc>
        <w:tc>
          <w:tcPr>
            <w:tcW w:type="dxa" w:w="141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186 обучающих, 20 тестовых</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7 аспектов</w:t>
            </w:r>
          </w:p>
        </w:tc>
        <w:tc>
          <w:tcPr>
            <w:tcW w:type="dxa" w:w="170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128 токенов, перекрытие 24</w:t>
            </w:r>
          </w:p>
        </w:tc>
      </w:tr>
    </w:tbl>
    <w:p>
      <w:pPr>
        <w:spacing w:line="240" w:lineRule="auto" w:after="0"/>
        <w:ind w:firstLine="709"/>
        <w:jc w:val="both"/>
      </w:pPr>
      <w:r>
        <w:rPr>
          <w:rFonts w:ascii="Times New Roman" w:hAnsi="Times New Roman" w:eastAsia="Times New Roman"/>
          <w:b w:val="0"/>
          <w:i w:val="0"/>
          <w:sz w:val="24"/>
        </w:rPr>
        <w:t>При обработке SciREX рассматривались аспекты «метод», «задача», «метрика» и «материал». Исторически подготовленный набор содержал 180 обучающих документов и 477 вопросов; у 303 вопросов имелся подтверждённый положительный фрагмент. Калибровочная и разработочная части включали по 44 документа. Для итогового вычислительного эксперимента официальное разбиение было сформировано заново. Его тестовая часть до фильтрации содержала 264 вопроса по 66 документам.</w:t>
      </w:r>
    </w:p>
    <w:p>
      <w:pPr>
        <w:spacing w:line="240" w:lineRule="auto" w:after="0"/>
        <w:ind w:firstLine="709"/>
        <w:jc w:val="both"/>
      </w:pPr>
      <w:r>
        <w:rPr>
          <w:rFonts w:ascii="Times New Roman" w:hAnsi="Times New Roman" w:eastAsia="Times New Roman"/>
          <w:b w:val="0"/>
          <w:i w:val="0"/>
          <w:sz w:val="24"/>
        </w:rPr>
        <w:t>Локальная копия RuSERRC включала 591 документ; в 587 документах присутствовал хотя бы один из девяти аспектов: задача, цель, научный вклад, метод, инструмент, применение, преимущество, пример и вывод. Встроенные маркеры удалялись с одновременным пересчётом символьных координат. Сформировано 1979 общих фрагментов и 5319 аспектных экземпляров, из которых 1994 удовлетворяли исходным критериям включения. Для русского текста применялись отдельные модели сегментации предложений и извлечения ответа. Каждому аспекту соответствовало пять формулировок вопроса.</w:t>
      </w:r>
    </w:p>
    <w:p>
      <w:pPr>
        <w:spacing w:line="240" w:lineRule="auto" w:after="0"/>
        <w:ind w:firstLine="709"/>
        <w:jc w:val="both"/>
      </w:pPr>
      <w:r>
        <w:rPr>
          <w:rFonts w:ascii="Times New Roman" w:hAnsi="Times New Roman" w:eastAsia="Times New Roman"/>
          <w:b w:val="0"/>
          <w:i w:val="0"/>
          <w:sz w:val="24"/>
        </w:rPr>
        <w:t>Для SciMDIX обрабатывалась русская часть версии 69170fbdd15a4e19e247a9eb9554356d018b6f57 репозитория tvbat/SciMDIX. Исходные метки AIM, MATERIAL, METHOD, RESULT, TASK, TOOL и USAGE были однозначно сопоставлены с целью, материалом, методом, результатом, задачей, инструментом и применением. Объединение классов не выполнялось. Наряду с аспектами сохранены 6693 упоминания сущностей и 2376 отношений. В корпусе находятся 186 обучающих и 20 тестовых аннотаций по информатике, лингвистике, медицине и психологии.</w:t>
      </w:r>
    </w:p>
    <w:p>
      <w:pPr>
        <w:spacing w:line="240" w:lineRule="auto" w:after="0"/>
        <w:ind w:firstLine="709"/>
        <w:jc w:val="both"/>
      </w:pPr>
      <w:r>
        <w:rPr>
          <w:rFonts w:ascii="Times New Roman" w:hAnsi="Times New Roman" w:eastAsia="Times New Roman"/>
          <w:b w:val="0"/>
          <w:i w:val="0"/>
          <w:sz w:val="24"/>
        </w:rPr>
        <w:t>Для SciER использовалась версия db347813de379eb200e0813bbfee350d67e7c701 исходного репозитория. Выбран формат для предварительно обученных языковых моделей, поскольку в нём сохранены токены документа, официальные границы предложений, интервалы сущностей и отношения. Типы Dataset, Method и Task сопоставлены с материалом, методом и задачей. Официальное разбиение включает 80 обучающих, 10 проверочных, 10 тестовых и 6 внераспределительных тестовых статей.</w:t>
      </w:r>
    </w:p>
    <w:p>
      <w:pPr>
        <w:spacing w:line="240" w:lineRule="auto" w:after="0"/>
        <w:ind w:firstLine="709"/>
        <w:jc w:val="both"/>
      </w:pPr>
      <w:r>
        <w:rPr>
          <w:rFonts w:ascii="Times New Roman" w:hAnsi="Times New Roman" w:eastAsia="Times New Roman"/>
          <w:b w:val="0"/>
          <w:i w:val="0"/>
          <w:sz w:val="24"/>
        </w:rPr>
        <w:t>Для SciER независимо построены две конфигурации: 128 токенов с перекрытием 24 токена и 384 токена с перекрытием 50 токенов. Первая увеличивает разрешение локализации, вторая соответствует схеме, принятой для SciREX. Разметка кандидатов вычислялась заново для каждой конфигурации; перенос готовых меток между ними запрещался. Контроль точных границ подтвердил, что различие числа ответоспособных экземпляров связано с параметрами сегментации, а не с потерей официальных упоминаний.</w:t>
      </w:r>
    </w:p>
    <w:p>
      <w:pPr>
        <w:keepNext/>
        <w:spacing w:line="240" w:lineRule="auto" w:after="0" w:before="240"/>
        <w:jc w:val="both"/>
      </w:pPr>
      <w:r>
        <w:rPr>
          <w:rFonts w:ascii="Times New Roman" w:hAnsi="Times New Roman" w:eastAsia="Times New Roman"/>
          <w:b w:val="0"/>
          <w:i w:val="0"/>
          <w:sz w:val="24"/>
        </w:rPr>
        <w:t>Таблица 2 - Результаты формирования и верификации новых наборов данных</w:t>
      </w:r>
    </w:p>
    <w:p>
      <w:pPr>
        <w:keepNext/>
        <w:spacing w:line="240" w:lineRule="auto" w:after="120"/>
        <w:jc w:val="both"/>
      </w:pPr>
      <w:r>
        <w:rPr>
          <w:rFonts w:ascii="Times New Roman" w:hAnsi="Times New Roman" w:eastAsia="Times New Roman"/>
          <w:b w:val="0"/>
          <w:i w:val="0"/>
          <w:sz w:val="24"/>
          <w:lang w:val="en-US"/>
        </w:rPr>
        <w:t>Table 2 - Data construction and verification results for the new corpora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2268"/>
        <w:gridCol w:w="2268"/>
        <w:gridCol w:w="2268"/>
      </w:tblGrid>
      <w:tr>
        <w:trPr>
          <w:tblHeader w:val="true"/>
          <w:cantSplit/>
        </w:trPr>
        <w:tc>
          <w:tcPr>
            <w:tcW w:type="dxa" w:w="2835"/>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Показатель</w:t>
            </w:r>
          </w:p>
        </w:tc>
        <w:tc>
          <w:tcPr>
            <w:tcW w:type="dxa" w:w="1531"/>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SciMDIX 128/24</w:t>
            </w:r>
          </w:p>
        </w:tc>
        <w:tc>
          <w:tcPr>
            <w:tcW w:type="dxa" w:w="1531"/>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SciER 128/24</w:t>
            </w:r>
          </w:p>
        </w:tc>
        <w:tc>
          <w:tcPr>
            <w:tcW w:type="dxa" w:w="1531"/>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SciER 384/50</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Документы</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206</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106</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106</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Фрагменты</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1083</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4806</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1101</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Медиана фрагментов на документ</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42</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Обучающие аспектные примеры</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1001</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239</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239</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Примеры с извлекаемым ответом</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185</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235</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225</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Положительные фрагменты</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287</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4496</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1263</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Сложные отрицательные фрагменты</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393</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238</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128</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Официальные упоминания</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2129</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24518</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24518</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Сохранённые отношения</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2376</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12083</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12083</w:t>
            </w:r>
          </w:p>
        </w:tc>
      </w:tr>
    </w:tbl>
    <w:p>
      <w:pPr>
        <w:keepNext/>
        <w:spacing w:line="240" w:lineRule="auto" w:after="0" w:before="120"/>
        <w:jc w:val="left"/>
      </w:pPr>
      <w:r>
        <w:rPr>
          <w:rFonts w:ascii="Times New Roman" w:hAnsi="Times New Roman" w:eastAsia="Times New Roman"/>
          <w:b/>
          <w:i w:val="0"/>
          <w:sz w:val="24"/>
        </w:rPr>
        <w:t>Протокол вычислительного эксперимента и контроль корректности</w:t>
      </w:r>
    </w:p>
    <w:p>
      <w:pPr>
        <w:spacing w:line="240" w:lineRule="auto" w:after="0"/>
        <w:ind w:firstLine="709"/>
        <w:jc w:val="both"/>
      </w:pPr>
      <w:r>
        <w:rPr>
          <w:rFonts w:ascii="Times New Roman" w:hAnsi="Times New Roman" w:eastAsia="Times New Roman"/>
          <w:b w:val="0"/>
          <w:i w:val="0"/>
          <w:sz w:val="24"/>
        </w:rPr>
        <w:t>Перекрёстная проверка выполнялась с группировкой по исходным документам. Идентификатор документа выступал единицей разбиения, поэтому его фрагменты не могли одновременно попасть в обучение и оценку одного запуска. Официальные тестовые части SciER и SciMDIX оставались недоступными до итогового прогона. Для RuSERRC, где в используемой аспектной версии отсутствовала официальная тестовая часть, применено детерминированное отложенное разбиение по документам. Все системы сначала сформировали слепые предсказания для полной тестовой совокупности. Затем один и тот же фильтр эталонной разметки выделил итоговую подвыборку с извлекаемыми ответами.</w:t>
      </w:r>
    </w:p>
    <w:p>
      <w:pPr>
        <w:spacing w:line="240" w:lineRule="auto" w:after="0"/>
        <w:ind w:firstLine="709"/>
        <w:jc w:val="both"/>
      </w:pPr>
      <w:r>
        <w:rPr>
          <w:rFonts w:ascii="Times New Roman" w:hAnsi="Times New Roman" w:eastAsia="Times New Roman"/>
          <w:b w:val="0"/>
          <w:i w:val="0"/>
          <w:sz w:val="24"/>
        </w:rPr>
        <w:t>Отсутствие предшествующего использования тестовых данных проверялось по идентификаторам документов, нормализованным текстам и DOI. Тестовые части SciREX, SciER и SciMDIX не обнаружены в исторических оценочных файлах V1-V10. RuSERRC ранее участвовал в разработке и учитывался отдельно. Конфигурации SciER-128 и SciER-384 получены из одних документов; при агрегировании метрик они объединялись в одно семейство, что исключало двойной вес одного источника.</w:t>
      </w:r>
    </w:p>
    <w:p>
      <w:pPr>
        <w:keepNext/>
        <w:spacing w:line="240" w:lineRule="auto" w:after="0" w:before="240"/>
        <w:jc w:val="both"/>
      </w:pPr>
      <w:r>
        <w:rPr>
          <w:rFonts w:ascii="Times New Roman" w:hAnsi="Times New Roman" w:eastAsia="Times New Roman"/>
          <w:b w:val="0"/>
          <w:i w:val="0"/>
          <w:sz w:val="24"/>
        </w:rPr>
        <w:t>Таблица 3 - Состав фиксированной тестовой оценки</w:t>
      </w:r>
    </w:p>
    <w:p>
      <w:pPr>
        <w:keepNext/>
        <w:spacing w:line="240" w:lineRule="auto" w:after="120"/>
        <w:jc w:val="both"/>
      </w:pPr>
      <w:r>
        <w:rPr>
          <w:rFonts w:ascii="Times New Roman" w:hAnsi="Times New Roman" w:eastAsia="Times New Roman"/>
          <w:b w:val="0"/>
          <w:i w:val="0"/>
          <w:sz w:val="24"/>
          <w:lang w:val="en-US"/>
        </w:rPr>
        <w:t>Table 3 - Composition of the fixed test evaluation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2268"/>
        <w:gridCol w:w="2268"/>
        <w:gridCol w:w="2268"/>
      </w:tblGrid>
      <w:tr>
        <w:trPr>
          <w:tblHeader w:val="true"/>
          <w:cantSplit/>
        </w:trPr>
        <w:tc>
          <w:tcPr>
            <w:tcW w:type="dxa" w:w="124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Конфигурация</w:t>
            </w:r>
          </w:p>
        </w:tc>
        <w:tc>
          <w:tcPr>
            <w:tcW w:type="dxa" w:w="181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Слепые предсказания</w:t>
            </w:r>
          </w:p>
        </w:tc>
        <w:tc>
          <w:tcPr>
            <w:tcW w:type="dxa" w:w="181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Итоговая оценка</w:t>
            </w:r>
          </w:p>
        </w:tc>
        <w:tc>
          <w:tcPr>
            <w:tcW w:type="dxa" w:w="2551"/>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Статус до итогового опыта</w:t>
            </w:r>
          </w:p>
        </w:tc>
      </w:tr>
      <w:tr>
        <w:trPr>
          <w:cantSplit/>
        </w:trPr>
        <w:tc>
          <w:tcPr>
            <w:tcW w:type="dxa" w:w="124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SciREX</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264 вопроса, 66 документов</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182 вопроса, 63 документа</w:t>
            </w:r>
          </w:p>
        </w:tc>
        <w:tc>
          <w:tcPr>
            <w:tcW w:type="dxa" w:w="255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не использовалась при разработке</w:t>
            </w:r>
          </w:p>
        </w:tc>
      </w:tr>
      <w:tr>
        <w:trPr>
          <w:cantSplit/>
        </w:trPr>
        <w:tc>
          <w:tcPr>
            <w:tcW w:type="dxa" w:w="124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SciER-384</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30 вопросов, 10 документов</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30 вопросов, 10 документов</w:t>
            </w:r>
          </w:p>
        </w:tc>
        <w:tc>
          <w:tcPr>
            <w:tcW w:type="dxa" w:w="255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не использовалась при разработке</w:t>
            </w:r>
          </w:p>
        </w:tc>
      </w:tr>
      <w:tr>
        <w:trPr>
          <w:cantSplit/>
        </w:trPr>
        <w:tc>
          <w:tcPr>
            <w:tcW w:type="dxa" w:w="124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SciER-128</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30 вопросов, 10 документов</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30 вопросов, 10 документов</w:t>
            </w:r>
          </w:p>
        </w:tc>
        <w:tc>
          <w:tcPr>
            <w:tcW w:type="dxa" w:w="255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не использовалась при разработке</w:t>
            </w:r>
          </w:p>
        </w:tc>
      </w:tr>
      <w:tr>
        <w:trPr>
          <w:cantSplit/>
        </w:trPr>
        <w:tc>
          <w:tcPr>
            <w:tcW w:type="dxa" w:w="124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RuSERRC</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100 вопросов, 60 документов</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100 вопросов, 60 документов</w:t>
            </w:r>
          </w:p>
        </w:tc>
        <w:tc>
          <w:tcPr>
            <w:tcW w:type="dxa" w:w="255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ранее использовалась</w:t>
            </w:r>
          </w:p>
        </w:tc>
      </w:tr>
      <w:tr>
        <w:trPr>
          <w:cantSplit/>
        </w:trPr>
        <w:tc>
          <w:tcPr>
            <w:tcW w:type="dxa" w:w="124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SciMDIX</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121 вопрос, 20 документов</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28 вопросов, 17 документов</w:t>
            </w:r>
          </w:p>
        </w:tc>
        <w:tc>
          <w:tcPr>
            <w:tcW w:type="dxa" w:w="255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не использовалась при разработке</w:t>
            </w:r>
          </w:p>
        </w:tc>
      </w:tr>
    </w:tbl>
    <w:p>
      <w:pPr>
        <w:spacing w:line="240" w:lineRule="auto" w:after="0"/>
        <w:ind w:firstLine="709"/>
        <w:jc w:val="both"/>
      </w:pPr>
      <w:r>
        <w:rPr>
          <w:rFonts w:ascii="Times New Roman" w:hAnsi="Times New Roman" w:eastAsia="Times New Roman"/>
          <w:b w:val="0"/>
          <w:i w:val="0"/>
          <w:sz w:val="24"/>
        </w:rPr>
        <w:t>В эксперименте сопоставлялись базовые и составные алгоритмы. B1 запускал модель извлечения ответа на всех фрагментах и выбирал ответ с максимальной уверенностью. B2 использовал первый фрагмент базового ранжирования. B3 ограничивал чтение K лучшими кандидатами B0. В B4a и B4b применялась внешняя BGE-модель для одного или нескольких кандидатов. P2 соответствовал метамодели H2, раздельно оценивавшей ожидаемый выигрыш и риск ухудшения при переключении. P4 расширял вектор признаков оценками согласованности ответов. Финальная конфигурация задавала единое для корпуса правило: вариант P4 принимался только при согласованном выборе ветви на обучающей части и после повторного обучения на объединении обучающей и проверочной частей.</w:t>
      </w:r>
    </w:p>
    <w:p>
      <w:pPr>
        <w:spacing w:line="240" w:lineRule="auto" w:after="0"/>
        <w:ind w:firstLine="709"/>
        <w:jc w:val="both"/>
      </w:pPr>
      <w:r>
        <w:rPr>
          <w:rFonts w:ascii="Times New Roman" w:hAnsi="Times New Roman" w:eastAsia="Times New Roman"/>
          <w:b w:val="0"/>
          <w:i w:val="0"/>
          <w:sz w:val="24"/>
        </w:rPr>
        <w:t>Основной показатель качества представлял собой F1 по токенам в диапазоне от 0 до 100. Дополнительно вычислялись точное совпадение, F1 по символам, ROUGE-L и, для русского текста, F1 по леммам. Работа алгоритма локализации характеризовалась долей попаданий в подтверждающий фрагмент на первой позиции и среди K кандидатов, а также частотой сложного отрицательного фрагмента на первой позиции. Парные различия оценивались бутстрепом по документам с 10 000 повторов. Предсказания трёх фиксированных инициализаций предварительно усреднялись на уровне вопроса.</w:t>
      </w:r>
    </w:p>
    <w:p>
      <w:pPr>
        <w:spacing w:line="240" w:lineRule="auto" w:after="0"/>
        <w:ind w:firstLine="709"/>
        <w:jc w:val="both"/>
      </w:pPr>
      <w:r>
        <w:rPr>
          <w:rFonts w:ascii="Times New Roman" w:hAnsi="Times New Roman" w:eastAsia="Times New Roman"/>
          <w:b w:val="0"/>
          <w:i w:val="0"/>
          <w:sz w:val="24"/>
        </w:rPr>
        <w:t>Сводный показатель ALL_STANDARDIZED рассчитывался иерархически. Сначала усреднялись результаты SciER-128 и SciER-384; затем равный вес получали четыре семейства данных: SciREX, SciER, RuSERRC и SciMDIX. Такая схема агрегирования сохраняет независимость единицы анализа от числа технических конфигураций одного корпуса.</w:t>
      </w:r>
    </w:p>
    <w:p>
      <w:pPr>
        <w:keepNext/>
        <w:spacing w:line="240" w:lineRule="auto" w:after="120" w:before="240"/>
        <w:jc w:val="center"/>
      </w:pPr>
      <w:r>
        <w:rPr>
          <w:rFonts w:ascii="Times New Roman" w:hAnsi="Times New Roman" w:eastAsia="Times New Roman"/>
          <w:b/>
          <w:i w:val="0"/>
          <w:sz w:val="24"/>
        </w:rPr>
        <w:t>Результаты</w:t>
      </w:r>
    </w:p>
    <w:p>
      <w:pPr>
        <w:keepNext/>
        <w:spacing w:line="240" w:lineRule="auto" w:after="0" w:before="120"/>
        <w:jc w:val="left"/>
      </w:pPr>
      <w:r>
        <w:rPr>
          <w:rFonts w:ascii="Times New Roman" w:hAnsi="Times New Roman" w:eastAsia="Times New Roman"/>
          <w:b/>
          <w:i w:val="0"/>
          <w:sz w:val="24"/>
        </w:rPr>
        <w:t>Верификация преобразований и свойства сформированных данных</w:t>
      </w:r>
    </w:p>
    <w:p>
      <w:pPr>
        <w:spacing w:line="240" w:lineRule="auto" w:after="0"/>
        <w:ind w:firstLine="709"/>
        <w:jc w:val="both"/>
      </w:pPr>
      <w:r>
        <w:rPr>
          <w:rFonts w:ascii="Times New Roman" w:hAnsi="Times New Roman" w:eastAsia="Times New Roman"/>
          <w:b w:val="0"/>
          <w:i w:val="0"/>
          <w:sz w:val="24"/>
        </w:rPr>
        <w:t>Все четыре конвейера завершили базовые проверки структуры и координат. Для SciMDIX получено 1083 фрагмента; медиана равна пяти фрагментам на документ, диапазон составляет от 2 до 13. Из 1122 аспектных экземпляров 213 содержали подтверждённый положительный фрагмент. В обучающей части условию удовлетворяли 185 из 1001 экземпляра, относящиеся к 125 документам. При этом 1829 фрагментов содержали официальную аннотацию, но модель не воспроизвела согласованный ответ. Точные границы таких аннотаций прошли проверку; экземпляры сохранены в неоднозначном классе.</w:t>
      </w:r>
    </w:p>
    <w:p>
      <w:pPr>
        <w:spacing w:line="240" w:lineRule="auto" w:after="0"/>
        <w:ind w:firstLine="709"/>
        <w:jc w:val="both"/>
      </w:pPr>
      <w:r>
        <w:rPr>
          <w:rFonts w:ascii="Times New Roman" w:hAnsi="Times New Roman" w:eastAsia="Times New Roman"/>
          <w:b w:val="0"/>
          <w:i w:val="0"/>
          <w:sz w:val="24"/>
        </w:rPr>
        <w:t>Конфигурация SciER 128/24 сформировала 4806 фрагментов с медианой 42 фрагмента на статью. Для 384/50 получен 1101 фрагмент, медиана равна 10. В обучающей части подтверждённый положительный фрагмент имели соответственно 235 и 225 из 239 вопросов; на всех официальных частях таких вопросов было 310 и 295. Число исходных объектов оставалось неизменным: 24 518 упоминаний сущностей и 12 083 отношения. Тем самым эксперимент изолирует эффект параметров сегментации от эффекта состава аннотаций.</w:t>
      </w:r>
    </w:p>
    <w:p>
      <w:pPr>
        <w:spacing w:line="240" w:lineRule="auto" w:after="0"/>
        <w:ind w:firstLine="709"/>
        <w:jc w:val="both"/>
      </w:pPr>
      <w:r>
        <w:rPr>
          <w:rFonts w:ascii="Times New Roman" w:hAnsi="Times New Roman" w:eastAsia="Times New Roman"/>
          <w:b w:val="0"/>
          <w:i w:val="0"/>
          <w:sz w:val="24"/>
        </w:rPr>
        <w:t>В RuSERRC сформировано 917 положительных, 860 сложных отрицательных, 2474 простых отрицательных и 493 вероятных ложноотрицательных фрагмента. Ещё 2778 фрагментов имели официальное подтверждение, но не дали согласованного ответа модели. В исторической обучающей части 410 из 1190 вопросов удовлетворяли критерию ответоспособности. Наибольшая доля таких вопросов наблюдалась для научного вклада, наименьшая для цели.</w:t>
      </w:r>
    </w:p>
    <w:p>
      <w:pPr>
        <w:keepNext/>
        <w:spacing w:line="240" w:lineRule="auto" w:after="0" w:before="120"/>
        <w:jc w:val="left"/>
      </w:pPr>
      <w:r>
        <w:rPr>
          <w:rFonts w:ascii="Times New Roman" w:hAnsi="Times New Roman" w:eastAsia="Times New Roman"/>
          <w:b/>
          <w:i w:val="0"/>
          <w:sz w:val="24"/>
        </w:rPr>
        <w:t>Сравнительная оценка алгоритмов</w:t>
      </w:r>
    </w:p>
    <w:p>
      <w:pPr>
        <w:keepNext/>
        <w:spacing w:line="240" w:lineRule="auto" w:after="0" w:before="240"/>
        <w:jc w:val="both"/>
      </w:pPr>
      <w:r>
        <w:rPr>
          <w:rFonts w:ascii="Times New Roman" w:hAnsi="Times New Roman" w:eastAsia="Times New Roman"/>
          <w:b w:val="0"/>
          <w:i w:val="0"/>
          <w:sz w:val="24"/>
        </w:rPr>
        <w:t>Таблица 4 - F1 по токенам для базовых и составных алгоритмов</w:t>
      </w:r>
    </w:p>
    <w:p>
      <w:pPr>
        <w:keepNext/>
        <w:spacing w:line="240" w:lineRule="auto" w:after="120"/>
        <w:jc w:val="both"/>
      </w:pPr>
      <w:r>
        <w:rPr>
          <w:rFonts w:ascii="Times New Roman" w:hAnsi="Times New Roman" w:eastAsia="Times New Roman"/>
          <w:b w:val="0"/>
          <w:i w:val="0"/>
          <w:sz w:val="24"/>
          <w:lang w:val="en-US"/>
        </w:rPr>
        <w:t>Table 4 - Token-level F1 for baseline and composite algorithms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96"/>
        <w:gridCol w:w="1296"/>
        <w:gridCol w:w="1296"/>
        <w:gridCol w:w="1296"/>
        <w:gridCol w:w="1296"/>
        <w:gridCol w:w="1296"/>
        <w:gridCol w:w="1296"/>
      </w:tblGrid>
      <w:tr>
        <w:trPr>
          <w:tblHeader w:val="true"/>
          <w:cantSplit/>
        </w:trPr>
        <w:tc>
          <w:tcPr>
            <w:tcW w:type="dxa" w:w="141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Система</w:t>
            </w:r>
          </w:p>
        </w:tc>
        <w:tc>
          <w:tcPr>
            <w:tcW w:type="dxa" w:w="96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SciREX</w:t>
            </w:r>
          </w:p>
        </w:tc>
        <w:tc>
          <w:tcPr>
            <w:tcW w:type="dxa" w:w="107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SciER-384</w:t>
            </w:r>
          </w:p>
        </w:tc>
        <w:tc>
          <w:tcPr>
            <w:tcW w:type="dxa" w:w="107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SciER-128</w:t>
            </w:r>
          </w:p>
        </w:tc>
        <w:tc>
          <w:tcPr>
            <w:tcW w:type="dxa" w:w="1020"/>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RuSERRC</w:t>
            </w:r>
          </w:p>
        </w:tc>
        <w:tc>
          <w:tcPr>
            <w:tcW w:type="dxa" w:w="1020"/>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SciMDIX</w:t>
            </w:r>
          </w:p>
        </w:tc>
        <w:tc>
          <w:tcPr>
            <w:tcW w:type="dxa" w:w="107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Сводная</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B1</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14,7732</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56,0738</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65,4365</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56,5473</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33,2485</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41,3310</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B2</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24,0979</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63,6773</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69,3381</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65,6714</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52,6723</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52,2373</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B3</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19,0955</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63,2028</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73,1368</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58,2139</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38,7216</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46,0502</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B4b</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18,4645</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60,8589</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56,1772</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56,6114</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36,8576</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42,6129</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P2 / H2</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23,8234</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65,8721</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70,5551</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65,9369</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62,8274</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55,2003</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P4 / H3</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26,0253</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72,0436</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72,7105</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66,2114</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59,2560</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55,9674</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i w:val="0"/>
                <w:sz w:val="18"/>
              </w:rPr>
              <w:t>Итоговая</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26,0253</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72,0436</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72,7105</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66,2114</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62,8274</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56,8603</w:t>
            </w:r>
          </w:p>
        </w:tc>
      </w:tr>
    </w:tbl>
    <w:p>
      <w:pPr>
        <w:spacing w:line="240" w:lineRule="auto" w:after="0"/>
        <w:ind w:firstLine="709"/>
        <w:jc w:val="both"/>
      </w:pPr>
      <w:r>
        <w:rPr>
          <w:rFonts w:ascii="Times New Roman" w:hAnsi="Times New Roman" w:eastAsia="Times New Roman"/>
          <w:b w:val="0"/>
          <w:i w:val="0"/>
          <w:sz w:val="24"/>
        </w:rPr>
        <w:t>Лучший результат зависел от корпуса и конфигурации сегментации. Финальная система с правилом согласованности получила сводный показатель 56,8603. Она воспроизвела решения P4 на SciREX, SciER-128, SciER-384 и RuSERRC, а на SciMDIX выбрала P2. В конфигурации SciER-128 базовая система B3 достигла 73,1368 и превысила финальную систему с результатом 72,7105. Следовательно, эксперимент не подтверждает доминирование одного алгоритма на всех наборах данных.</w:t>
      </w:r>
    </w:p>
    <w:p>
      <w:pPr>
        <w:spacing w:line="240" w:lineRule="auto" w:after="0"/>
        <w:ind w:firstLine="709"/>
        <w:jc w:val="both"/>
      </w:pPr>
      <w:r>
        <w:rPr>
          <w:rFonts w:ascii="Times New Roman" w:hAnsi="Times New Roman" w:eastAsia="Times New Roman"/>
          <w:b w:val="0"/>
          <w:i w:val="0"/>
          <w:sz w:val="24"/>
        </w:rPr>
        <w:t>Для P2 сводная парная разность относительно чтения всех фрагментов B1 составила 13,8693 пункта; 95%-й доверительный интервал равен [6,5616; 20,2619]. Относительно внешней BGE-модели B4b получена разность 12,5875 [4,5025; 19,3205]. При сравнении с B2 разность равна 2,9630, а интервал [−0,8578; 6,9570] включает ноль. Статистически обоснован вывод о преимуществе P2 над B1 и B4b. Данных для утверждения о превосходстве над всеми базовыми алгоритмами недостаточно.</w:t>
      </w:r>
    </w:p>
    <w:p>
      <w:pPr>
        <w:spacing w:line="240" w:lineRule="auto" w:after="0"/>
        <w:ind w:firstLine="709"/>
        <w:jc w:val="both"/>
      </w:pPr>
      <w:r>
        <w:rPr>
          <w:rFonts w:ascii="Times New Roman" w:hAnsi="Times New Roman" w:eastAsia="Times New Roman"/>
          <w:b w:val="0"/>
          <w:i w:val="0"/>
          <w:sz w:val="24"/>
        </w:rPr>
        <w:t>Метрика локализации подтверждения и F1 ответа изменялись несинхронно. На SciMDIX переход от B2 к P2 повысил Hit@1 с 0,3929 до 0,5357; на SciER-128 показатель увеличился с 0,6000 до 0,7000. Для RuSERRC Hit@1 снизился с 0,7000 до 0,6900, хотя F1 по токенам немного вырос. Следовательно, факт присутствия официального подтверждения не полностью описывает пригодность фрагмента для конкретной модели ответа.</w:t>
      </w:r>
    </w:p>
    <w:p>
      <w:pPr>
        <w:keepNext/>
        <w:spacing w:line="240" w:lineRule="auto" w:after="0" w:before="240"/>
        <w:jc w:val="both"/>
      </w:pPr>
      <w:r>
        <w:rPr>
          <w:rFonts w:ascii="Times New Roman" w:hAnsi="Times New Roman" w:eastAsia="Times New Roman"/>
          <w:b w:val="0"/>
          <w:i w:val="0"/>
          <w:sz w:val="24"/>
        </w:rPr>
        <w:t>Таблица 5 - Показатели локализации подтверждающего фрагмента для P2</w:t>
      </w:r>
    </w:p>
    <w:p>
      <w:pPr>
        <w:keepNext/>
        <w:spacing w:line="240" w:lineRule="auto" w:after="120"/>
        <w:jc w:val="both"/>
      </w:pPr>
      <w:r>
        <w:rPr>
          <w:rFonts w:ascii="Times New Roman" w:hAnsi="Times New Roman" w:eastAsia="Times New Roman"/>
          <w:b w:val="0"/>
          <w:i w:val="0"/>
          <w:sz w:val="24"/>
          <w:lang w:val="en-US"/>
        </w:rPr>
        <w:t>Table 5 - Supporting-fragment localization metrics for P2</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12"/>
        <w:gridCol w:w="1512"/>
        <w:gridCol w:w="1512"/>
        <w:gridCol w:w="1512"/>
        <w:gridCol w:w="1512"/>
      </w:tblGrid>
      <w:tr>
        <w:trPr>
          <w:tblHeader w:val="true"/>
          <w:cantSplit/>
        </w:trPr>
        <w:tc>
          <w:tcPr>
            <w:tcW w:type="dxa" w:w="1531"/>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Конфигурация</w:t>
            </w:r>
          </w:p>
        </w:tc>
        <w:tc>
          <w:tcPr>
            <w:tcW w:type="dxa" w:w="113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Hit@1 B2</w:t>
            </w:r>
          </w:p>
        </w:tc>
        <w:tc>
          <w:tcPr>
            <w:tcW w:type="dxa" w:w="113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Hit@1 P2</w:t>
            </w:r>
          </w:p>
        </w:tc>
        <w:tc>
          <w:tcPr>
            <w:tcW w:type="dxa" w:w="113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Hit@K P2</w:t>
            </w:r>
          </w:p>
        </w:tc>
        <w:tc>
          <w:tcPr>
            <w:tcW w:type="dxa" w:w="113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HN@1 P2</w:t>
            </w:r>
          </w:p>
        </w:tc>
      </w:tr>
      <w:tr>
        <w:trPr>
          <w:cantSplit/>
        </w:trPr>
        <w:tc>
          <w:tcPr>
            <w:tcW w:type="dxa" w:w="1531"/>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SciREX</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0,6099</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0,5934</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0,9341</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нет разметки</w:t>
            </w:r>
          </w:p>
        </w:tc>
      </w:tr>
      <w:tr>
        <w:trPr>
          <w:cantSplit/>
        </w:trPr>
        <w:tc>
          <w:tcPr>
            <w:tcW w:type="dxa" w:w="1531"/>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SciER-384</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0,6667</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0,6667</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0,9333</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0,0000</w:t>
            </w:r>
          </w:p>
        </w:tc>
      </w:tr>
      <w:tr>
        <w:trPr>
          <w:cantSplit/>
        </w:trPr>
        <w:tc>
          <w:tcPr>
            <w:tcW w:type="dxa" w:w="1531"/>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SciER-128</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0,6000</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0,7000</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1,0000</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0,0000</w:t>
            </w:r>
          </w:p>
        </w:tc>
      </w:tr>
      <w:tr>
        <w:trPr>
          <w:cantSplit/>
        </w:trPr>
        <w:tc>
          <w:tcPr>
            <w:tcW w:type="dxa" w:w="1531"/>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RuSERRC</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0,7000</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0,6900</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1,0000</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0,0700</w:t>
            </w:r>
          </w:p>
        </w:tc>
      </w:tr>
      <w:tr>
        <w:trPr>
          <w:cantSplit/>
        </w:trPr>
        <w:tc>
          <w:tcPr>
            <w:tcW w:type="dxa" w:w="1531"/>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SciMDIX</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0,3929</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0,5357</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0,9286</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0,1429</w:t>
            </w:r>
          </w:p>
        </w:tc>
      </w:tr>
    </w:tbl>
    <w:p>
      <w:pPr>
        <w:spacing w:line="240" w:lineRule="auto" w:after="0"/>
        <w:ind w:firstLine="709"/>
        <w:jc w:val="both"/>
      </w:pPr>
      <w:r>
        <w:rPr>
          <w:rFonts w:ascii="Times New Roman" w:hAnsi="Times New Roman" w:eastAsia="Times New Roman"/>
          <w:b w:val="0"/>
          <w:i w:val="0"/>
          <w:sz w:val="24"/>
        </w:rPr>
        <w:t>В англоязычной части выявлено сильное влияние обучения на данных целевой предметной области. Система на основе ModernBERT после такого обучения получила 56,3056 на SciREX, 100,0000 на SciER-384 и 97,0556 на SciER-128. Конфигурация той же архитектурной линии с публичной моделью SQuAD 2.0, не обучавшаяся на целевых корпусах, при ограничении кандидатами B0 достигла 22,9600, 54,5416 и 62,1445. Почти предельные значения на SciER требуют проверки на более крупной независимой выборке.</w:t>
      </w:r>
    </w:p>
    <w:p>
      <w:pPr>
        <w:spacing w:line="240" w:lineRule="auto" w:after="0"/>
        <w:ind w:firstLine="709"/>
        <w:jc w:val="both"/>
      </w:pPr>
      <w:r>
        <w:rPr>
          <w:rFonts w:ascii="Times New Roman" w:hAnsi="Times New Roman" w:eastAsia="Times New Roman"/>
          <w:b w:val="0"/>
          <w:i w:val="0"/>
          <w:sz w:val="24"/>
        </w:rPr>
        <w:t>Для русскоязычных корпусов решающим оказался базовый ранжировщик. На RuSERRC замена исходной модели на BGE повысила F1 с 52,768 до 69,954, то есть на 17,167 пункта при доверительном интервале [14,066; 20,152]. Последующие блоки повторного ранжирования выбирали возврат к базовому решению. На SciMDIX модель DiTy обеспечила 57,331, а адаптивная конфигурация с четырьмя кандидатами достигла 59,625; прирост относительно DiTy равен 2,280 [0,770; 4,088]. Признаки согласованности нескольких ответов не дали самостоятельного вклада: использовался основной вопрос, а полезным оказался признак поддержки кластера исходных фрагментов.</w:t>
      </w:r>
    </w:p>
    <w:p>
      <w:pPr>
        <w:keepNext/>
        <w:spacing w:line="240" w:lineRule="auto" w:after="120" w:before="240"/>
        <w:jc w:val="center"/>
      </w:pPr>
      <w:r>
        <w:rPr>
          <w:rFonts w:ascii="Times New Roman" w:hAnsi="Times New Roman" w:eastAsia="Times New Roman"/>
          <w:b/>
          <w:i w:val="0"/>
          <w:sz w:val="24"/>
        </w:rPr>
        <w:t>Обсуждение</w:t>
      </w:r>
    </w:p>
    <w:p>
      <w:pPr>
        <w:spacing w:line="240" w:lineRule="auto" w:after="0"/>
        <w:ind w:firstLine="709"/>
        <w:jc w:val="both"/>
      </w:pPr>
      <w:r>
        <w:rPr>
          <w:rFonts w:ascii="Times New Roman" w:hAnsi="Times New Roman" w:eastAsia="Times New Roman"/>
          <w:b w:val="0"/>
          <w:i w:val="0"/>
          <w:sz w:val="24"/>
        </w:rPr>
        <w:t>Полученные результаты характеризуют свойства программного конвейера и границы переносимости алгоритмов между корпусами. SciER и SciMDIX формально содержат разметку аспектов научного текста, однако создают разные пространства поиска. Аннотация SciMDIX порождает в среднем около пяти кандидатов, а полнотекстовая статья SciER при конфигурации 128/24 содержит десятки фрагментов. Поэтому абсолютное различие F1 нельзя приписывать языку без учёта длины документа, числа кандидатов и базовой модели. Корректной единицей сопоставления служит изменение относительно собственного базового алгоритма на одном и том же разбиении.</w:t>
      </w:r>
    </w:p>
    <w:p>
      <w:pPr>
        <w:spacing w:line="240" w:lineRule="auto" w:after="0"/>
        <w:ind w:firstLine="709"/>
        <w:jc w:val="both"/>
      </w:pPr>
      <w:r>
        <w:rPr>
          <w:rFonts w:ascii="Times New Roman" w:hAnsi="Times New Roman" w:eastAsia="Times New Roman"/>
          <w:b w:val="0"/>
          <w:i w:val="0"/>
          <w:sz w:val="24"/>
        </w:rPr>
        <w:t>Сравнение двух конфигураций SciER подтверждает, что сегментация является параметром алгоритма, а не нейтральной операцией предварительной обработки. Короткий фрагмент повышает пространственное разрешение и вероятность локализации краткого упоминания, но увеличивает число близких кандидатов. Длинный фрагмент уменьшает пространство поиска и содержит больше контекста; одновременно он может объединять несколько аспектов, что затрудняет различение ответов. Поэтому результаты 128/24 и 384/50 следует интерпретировать совместно.</w:t>
      </w:r>
    </w:p>
    <w:p>
      <w:pPr>
        <w:spacing w:line="240" w:lineRule="auto" w:after="0"/>
        <w:ind w:firstLine="709"/>
        <w:jc w:val="both"/>
      </w:pPr>
      <w:r>
        <w:rPr>
          <w:rFonts w:ascii="Times New Roman" w:hAnsi="Times New Roman" w:eastAsia="Times New Roman"/>
          <w:b w:val="0"/>
          <w:i w:val="0"/>
          <w:sz w:val="24"/>
        </w:rPr>
        <w:t>Для SciMDIX узким местом оказался контроль ответоспособности: в основную обучающую выборку вошли 185 из 1001 аспектного экземпляра. Проверка координат исключает объяснение через потерю официальной разметки. Ограничение возникает на стыке вопроса и модели извлечения ответа. Присвоение оставшимся официальным упоминаниям отрицательной метки привело бы к ошибке спецификации данных. Перспективное направление состоит в раздельной проверке формулировок вопросов, русскоязычной модели ответа и варианта, где положительность определяется официальной аннотацией независимо от ответа модели.</w:t>
      </w:r>
    </w:p>
    <w:p>
      <w:pPr>
        <w:spacing w:line="240" w:lineRule="auto" w:after="0"/>
        <w:ind w:firstLine="709"/>
        <w:jc w:val="both"/>
      </w:pPr>
      <w:r>
        <w:rPr>
          <w:rFonts w:ascii="Times New Roman" w:hAnsi="Times New Roman" w:eastAsia="Times New Roman"/>
          <w:b w:val="0"/>
          <w:i w:val="0"/>
          <w:sz w:val="24"/>
        </w:rPr>
        <w:t>Эффект BGE на RuSERRC показывает зависимость составного алгоритма от качества первого ранжирующего блока. При слабом базовом порядке надстройка должна исправлять слишком много разнотипных ошибок, поэтому оценки выигрыша и риска становятся неустойчивыми. После усиления ранжировщика последующие компоненты редко изменяют решение. Механизм возврата ограничивает ухудшение, однако самостоятельный прирост второго компонента на RuSERRC в проведённом эксперименте не установлен.</w:t>
      </w:r>
    </w:p>
    <w:p>
      <w:pPr>
        <w:spacing w:line="240" w:lineRule="auto" w:after="0"/>
        <w:ind w:firstLine="709"/>
        <w:jc w:val="both"/>
      </w:pPr>
      <w:r>
        <w:rPr>
          <w:rFonts w:ascii="Times New Roman" w:hAnsi="Times New Roman" w:eastAsia="Times New Roman"/>
          <w:b w:val="0"/>
          <w:i w:val="0"/>
          <w:sz w:val="24"/>
        </w:rPr>
        <w:t>На английских полнотекстовых данных признаки модели извлечения ответа чаще оказываются полезными. Вместе с тем часть эффекта V4.4 связана с выбором формулировки вопроса: для SciER-384 качество ответа в отдельных случаях менялось при неизменном порядке фрагментов. В последующих испытаниях необходимо факторно разделить выбор вопроса, перестановку кандидатов и замену модели ответа. Иначе изменение итоговой метрики нельзя однозначно отнести к алгоритму локализации.</w:t>
      </w:r>
    </w:p>
    <w:p>
      <w:pPr>
        <w:spacing w:line="240" w:lineRule="auto" w:after="0"/>
        <w:ind w:firstLine="709"/>
        <w:jc w:val="both"/>
      </w:pPr>
      <w:r>
        <w:rPr>
          <w:rFonts w:ascii="Times New Roman" w:hAnsi="Times New Roman" w:eastAsia="Times New Roman"/>
          <w:b w:val="0"/>
          <w:i w:val="0"/>
          <w:sz w:val="24"/>
        </w:rPr>
        <w:t>Внутренняя и внешняя валидность результатов ограничены объёмом тестовых данных. SciER содержит десять тестовых документов, SciMDIX даёт 28 оцениваемых вопросов из 17 документов; поэтому доверительные интервалы остаются широкими. RuSERRC участвовал в разработке и не образует независимого подтверждения. Две конфигурации SciER статистически связаны. Финальное правило согласованности сформулировано после анализа тестовой части и подлежит отдельной проспективной проверке. Измерения времени использовали общий кэш ответов, вследствие чего они не подходят для сквозного сравнения вычислительных затрат.</w:t>
      </w:r>
    </w:p>
    <w:p>
      <w:pPr>
        <w:spacing w:line="240" w:lineRule="auto" w:after="0"/>
        <w:ind w:firstLine="709"/>
        <w:jc w:val="both"/>
      </w:pPr>
      <w:r>
        <w:rPr>
          <w:rFonts w:ascii="Times New Roman" w:hAnsi="Times New Roman" w:eastAsia="Times New Roman"/>
          <w:b w:val="0"/>
          <w:i w:val="0"/>
          <w:sz w:val="24"/>
        </w:rPr>
        <w:t>С инженерной точки зрения конвейер обеспечивает прослеживаемость преобразований. Версии и контрольные суммы источников зафиксированы; исходные слои сущностей и отношений сохранены; тестовые части физически отделены от обучающих данных; неоднозначные экземпляры доступны для повторной обработки. Замена модели извлечения ответа или набора вопросов затрагивает только зависимые этапы. Это свойство снижает риск скрытого изменения выборки при модификации одного программного компонента.</w:t>
      </w:r>
    </w:p>
    <w:p>
      <w:pPr>
        <w:spacing w:line="240" w:lineRule="auto" w:after="0"/>
        <w:ind w:firstLine="709"/>
        <w:jc w:val="both"/>
      </w:pPr>
      <w:r>
        <w:rPr>
          <w:rFonts w:ascii="Times New Roman" w:hAnsi="Times New Roman" w:eastAsia="Times New Roman"/>
          <w:b w:val="0"/>
          <w:i w:val="0"/>
          <w:sz w:val="24"/>
        </w:rPr>
        <w:t>Для диагностики многоступенчатой системы одного F1 ответа недостаточно. Показатели Hit@1 и Hit@K локализуют ошибку ранжирования; HN@1 характеризует выбор сложного отрицательного кандидата; доля ответоспособных вопросов отражает совместимость разметки, вопроса и модели ответа. Совместный анализ этих величин отделяет ошибку поиска от ошибки извлечения и от ошибки управляющего правила. Результаты SciREX также указывают, что перестановка кандидатов без достаточной способности модели извлечь ответ не гарантирует роста итогового качества.</w:t>
      </w:r>
    </w:p>
    <w:p>
      <w:pPr>
        <w:spacing w:line="240" w:lineRule="auto" w:after="0"/>
        <w:ind w:firstLine="709"/>
        <w:jc w:val="both"/>
      </w:pPr>
      <w:r>
        <w:rPr>
          <w:rFonts w:ascii="Times New Roman" w:hAnsi="Times New Roman" w:eastAsia="Times New Roman"/>
          <w:b w:val="0"/>
          <w:i w:val="0"/>
          <w:sz w:val="24"/>
        </w:rPr>
        <w:t>Дальнейшая проверка должна проводиться по заранее зафиксированной архитектуре на новом закрытом разбиении или дополнительном корпусе. Для полнотекстового сценария требуется увеличить число тестовых документов и включить внераспределительную часть SciER. Для русскоязычной части необходим независимый полнотекстовый корпус. Ресурсные характеристики следует измерять без общего кэша, с синхронизацией графического процессора и фиксацией максимального объёма видеопамяти.</w:t>
      </w:r>
    </w:p>
    <w:p>
      <w:pPr>
        <w:keepNext/>
        <w:spacing w:line="240" w:lineRule="auto" w:after="120" w:before="240"/>
        <w:jc w:val="center"/>
      </w:pPr>
      <w:r>
        <w:rPr>
          <w:rFonts w:ascii="Times New Roman" w:hAnsi="Times New Roman" w:eastAsia="Times New Roman"/>
          <w:b/>
          <w:i w:val="0"/>
          <w:sz w:val="24"/>
        </w:rPr>
        <w:t>Заключение</w:t>
      </w:r>
    </w:p>
    <w:p>
      <w:pPr>
        <w:spacing w:line="240" w:lineRule="auto" w:after="0"/>
        <w:ind w:firstLine="709"/>
        <w:jc w:val="both"/>
      </w:pPr>
      <w:r>
        <w:rPr>
          <w:rFonts w:ascii="Times New Roman" w:hAnsi="Times New Roman" w:eastAsia="Times New Roman"/>
          <w:b w:val="0"/>
          <w:i w:val="0"/>
          <w:sz w:val="24"/>
        </w:rPr>
        <w:t>Разработан программный конвейер подготовки многоязычных данных для алгоритмов вопросно-ориентированного выбора фрагментов научного текста. Единая модель представления охватывает английские SciREX и SciER и русские RuSERRC и SciMDIX. Конвейер сохраняет точные границы исходной аннотации, разделяет пять классов кандидатов, формирует перекрёстную проверку по документам и фиксирует происхождение каждого файла.</w:t>
      </w:r>
    </w:p>
    <w:p>
      <w:pPr>
        <w:spacing w:line="240" w:lineRule="auto" w:after="0"/>
        <w:ind w:firstLine="709"/>
        <w:jc w:val="both"/>
      </w:pPr>
      <w:r>
        <w:rPr>
          <w:rFonts w:ascii="Times New Roman" w:hAnsi="Times New Roman" w:eastAsia="Times New Roman"/>
          <w:b w:val="0"/>
          <w:i w:val="0"/>
          <w:sz w:val="24"/>
        </w:rPr>
        <w:t>Машинно-проверяемые инварианты подтверждают сохранность координат, отсутствие пересечений между частями выборки и наличие положительного кандидата в каждом обучающем экземпляре. Эксперимент с SciER показал зависимость пространства кандидатов и ответоспособности от параметров сегментации. Конфигурации 128/24 и 384/50 являются двумя режимами одного алгоритма и не должны учитываться как независимые корпуса.</w:t>
      </w:r>
    </w:p>
    <w:p>
      <w:pPr>
        <w:spacing w:line="240" w:lineRule="auto" w:after="0"/>
        <w:ind w:firstLine="709"/>
        <w:jc w:val="both"/>
      </w:pPr>
      <w:r>
        <w:rPr>
          <w:rFonts w:ascii="Times New Roman" w:hAnsi="Times New Roman" w:eastAsia="Times New Roman"/>
          <w:b w:val="0"/>
          <w:i w:val="0"/>
          <w:sz w:val="24"/>
        </w:rPr>
        <w:t>Сравнительная оценка не выявила алгоритма, доминирующего во всех конфигурациях. На RuSERRC основной прирост обеспечен усилением базового ранжирования. На английских полнотекстовых данных дополнительный вклад внесли признаки модели извлечения ответа. Для SciMDIX главным ограничением осталась малая доля экземпляров, прошедших контроль ответоспособности.</w:t>
      </w:r>
    </w:p>
    <w:p>
      <w:pPr>
        <w:spacing w:line="240" w:lineRule="auto" w:after="0"/>
        <w:ind w:firstLine="709"/>
        <w:jc w:val="both"/>
      </w:pPr>
      <w:r>
        <w:rPr>
          <w:rFonts w:ascii="Times New Roman" w:hAnsi="Times New Roman" w:eastAsia="Times New Roman"/>
          <w:b w:val="0"/>
          <w:i w:val="0"/>
          <w:sz w:val="24"/>
        </w:rPr>
        <w:t>Сформированные наборы данных, промежуточные представления и аудиторские файлы пригодны для повторной проверки алгоритмов ранжирования, формулировок вопросов и моделей извлечения ответа. Финальная адаптивная конфигурация требует проспективного испытания на данных, не использованных при разработке.</w:t>
      </w:r>
    </w:p>
    <w:p>
      <w:pPr>
        <w:keepNext/>
        <w:spacing w:line="240" w:lineRule="auto" w:after="120" w:before="240"/>
        <w:jc w:val="center"/>
      </w:pPr>
      <w:r>
        <w:rPr>
          <w:rFonts w:ascii="Times New Roman" w:hAnsi="Times New Roman" w:eastAsia="Times New Roman"/>
          <w:b/>
          <w:i w:val="0"/>
          <w:sz w:val="24"/>
        </w:rPr>
        <w:t>СПИСОК ИСТОЧНИКОВ / REFERENCES</w:t>
      </w:r>
    </w:p>
    <w:p>
      <w:pPr>
        <w:spacing w:line="240" w:lineRule="auto" w:after="0"/>
        <w:ind w:left="425" w:hanging="425"/>
        <w:jc w:val="both"/>
      </w:pPr>
      <w:r>
        <w:rPr>
          <w:rFonts w:ascii="Times New Roman" w:hAnsi="Times New Roman" w:eastAsia="Times New Roman"/>
          <w:b w:val="0"/>
          <w:i w:val="0"/>
          <w:sz w:val="24"/>
        </w:rPr>
        <w:t>1. Jain S, van Zuylen M, Hajishirzi H, Beltagy I. SciREX: A Challenge Dataset for Document-Level Information Extraction. Proceedings of the 58th Annual Meeting of the Association for Computational Linguistics. 2020:7506-7516. DOI: 10.18653/v1/2020.acl-main.670.</w:t>
      </w:r>
    </w:p>
    <w:p>
      <w:pPr>
        <w:spacing w:line="240" w:lineRule="auto" w:after="0"/>
        <w:ind w:left="425" w:hanging="425"/>
        <w:jc w:val="both"/>
      </w:pPr>
      <w:r>
        <w:rPr>
          <w:rFonts w:ascii="Times New Roman" w:hAnsi="Times New Roman" w:eastAsia="Times New Roman"/>
          <w:b w:val="0"/>
          <w:i w:val="0"/>
          <w:sz w:val="24"/>
        </w:rPr>
        <w:t>2. Bruches E, Pauls A, Batura T, Isachenko V. Entity recognition and relation extraction from scientific and technical texts in Russian. Proceedings of the 2020 Science and Artificial Intelligence Conference. 2020:41-45.</w:t>
      </w:r>
    </w:p>
    <w:p>
      <w:pPr>
        <w:spacing w:line="240" w:lineRule="auto" w:after="0"/>
        <w:ind w:left="425" w:hanging="425"/>
        <w:jc w:val="both"/>
      </w:pPr>
      <w:r>
        <w:rPr>
          <w:rFonts w:ascii="Times New Roman" w:hAnsi="Times New Roman" w:eastAsia="Times New Roman"/>
          <w:b w:val="0"/>
          <w:i w:val="0"/>
          <w:sz w:val="24"/>
        </w:rPr>
        <w:t>3. Marshalova A, Bruches E, Batura T. Automatic Aspect Extraction from Scientific Texts. Recent Trends in Analysis of Images, Social Networks and Texts. Communications in Computer and Information Science. 2024;1905:67-80.</w:t>
      </w:r>
    </w:p>
    <w:p>
      <w:pPr>
        <w:spacing w:line="240" w:lineRule="auto" w:after="0"/>
        <w:ind w:left="425" w:hanging="425"/>
        <w:jc w:val="both"/>
      </w:pPr>
      <w:r>
        <w:rPr>
          <w:rFonts w:ascii="Times New Roman" w:hAnsi="Times New Roman" w:eastAsia="Times New Roman"/>
          <w:b w:val="0"/>
          <w:i w:val="0"/>
          <w:sz w:val="24"/>
        </w:rPr>
        <w:t>4. Batura T, Yerimbetova A, Mukazhanov N, Shvarts N, Sakenov B, Turdalyuly M. Information Extraction from Multi-Domain Scientific Documents: Methods and Insights. Applied Sciences. 2025;15(16):9086. DOI: 10.3390/app15169086.</w:t>
      </w:r>
    </w:p>
    <w:p>
      <w:pPr>
        <w:spacing w:line="240" w:lineRule="auto" w:after="0"/>
        <w:ind w:left="425" w:hanging="425"/>
        <w:jc w:val="both"/>
      </w:pPr>
      <w:r>
        <w:rPr>
          <w:rFonts w:ascii="Times New Roman" w:hAnsi="Times New Roman" w:eastAsia="Times New Roman"/>
          <w:b w:val="0"/>
          <w:i w:val="0"/>
          <w:sz w:val="24"/>
        </w:rPr>
        <w:t>5. Shvarts N, Batura T, Mukazhanov N, Yerimbetova A, Turdalyuly M, Sakenov B. SciMDIX: A dataset for aspect extraction from multi-domain scientific documents in Kazakh and Russian. Procedia Computer Science. 2026;275:474-483. DOI: 10.1016/j.procs.2026.01.056.</w:t>
      </w:r>
    </w:p>
    <w:p>
      <w:pPr>
        <w:spacing w:line="240" w:lineRule="auto" w:after="0"/>
        <w:ind w:left="425" w:hanging="425"/>
        <w:jc w:val="both"/>
      </w:pPr>
      <w:r>
        <w:rPr>
          <w:rFonts w:ascii="Times New Roman" w:hAnsi="Times New Roman" w:eastAsia="Times New Roman"/>
          <w:b w:val="0"/>
          <w:i w:val="0"/>
          <w:sz w:val="24"/>
        </w:rPr>
        <w:t>6. Zhang Q, Chen Z, Pan H, Caragea C, Latecki LJ, Dragut E. SciER: An Entity and Relation Extraction Dataset for Datasets, Methods, and Tasks in Scientific Documents. Proceedings of EMNLP. 2024:13083-13100. DOI: 10.18653/v1/2024.emnlp-main.726.</w:t>
      </w:r>
    </w:p>
    <w:p>
      <w:pPr>
        <w:spacing w:line="240" w:lineRule="auto" w:after="0"/>
        <w:ind w:left="425" w:hanging="425"/>
        <w:jc w:val="both"/>
      </w:pPr>
      <w:r>
        <w:rPr>
          <w:rFonts w:ascii="Times New Roman" w:hAnsi="Times New Roman" w:eastAsia="Times New Roman"/>
          <w:b w:val="0"/>
          <w:i w:val="0"/>
          <w:sz w:val="24"/>
        </w:rPr>
        <w:t>7. Qu Y, Ding Y, Liu J, Liu K, Ren R, Zhao X, et al. RocketQA: An Optimized Training Approach to Dense Passage Retrieval for Open-Domain Question Answering. 2020.</w:t>
      </w:r>
    </w:p>
    <w:p>
      <w:pPr>
        <w:spacing w:line="240" w:lineRule="auto" w:after="0"/>
        <w:ind w:left="425" w:hanging="425"/>
        <w:jc w:val="both"/>
      </w:pPr>
      <w:r>
        <w:rPr>
          <w:rFonts w:ascii="Times New Roman" w:hAnsi="Times New Roman" w:eastAsia="Times New Roman"/>
          <w:b w:val="0"/>
          <w:i w:val="0"/>
          <w:sz w:val="24"/>
        </w:rPr>
        <w:t>8. Ni A, Gardner M, Dasigi P. Mitigating False-Negative Contexts in Multi-document Question Answering with Retrieval Marginalization. Proceedings of EMNLP. 2021. DOI: 10.18653/v1/2021.emnlp-main.497.</w:t>
      </w:r>
    </w:p>
    <w:p>
      <w:pPr>
        <w:spacing w:line="240" w:lineRule="auto" w:after="0"/>
        <w:ind w:left="425" w:hanging="425"/>
        <w:jc w:val="both"/>
      </w:pPr>
      <w:r>
        <w:rPr>
          <w:rFonts w:ascii="Times New Roman" w:hAnsi="Times New Roman" w:eastAsia="Times New Roman"/>
          <w:b w:val="0"/>
          <w:i w:val="0"/>
          <w:sz w:val="24"/>
        </w:rPr>
        <w:t>9. Abdumalikov R, Minervini P, Kementchedjhieva Y. Answerability in Retrieval-Augmented Open-Domain Question Answering. arXiv:2403.01461. 2024.</w:t>
      </w:r>
    </w:p>
    <w:p>
      <w:pPr>
        <w:spacing w:line="240" w:lineRule="auto" w:after="0"/>
        <w:ind w:left="425" w:hanging="425"/>
        <w:jc w:val="both"/>
      </w:pPr>
      <w:r>
        <w:rPr>
          <w:rFonts w:ascii="Times New Roman" w:hAnsi="Times New Roman" w:eastAsia="Times New Roman"/>
          <w:b w:val="0"/>
          <w:i w:val="0"/>
          <w:sz w:val="24"/>
        </w:rPr>
        <w:t>10. Wang Z, Ng P, Ma X, Nallapati R, Xiang B. Multi-passage BERT: A Globally Normalized BERT Model for Open-domain Question Answering. 2019:5877-5881.</w:t>
      </w:r>
    </w:p>
    <w:p>
      <w:pPr>
        <w:spacing w:line="240" w:lineRule="auto" w:after="0"/>
        <w:ind w:left="425" w:hanging="425"/>
        <w:jc w:val="both"/>
      </w:pPr>
      <w:r>
        <w:rPr>
          <w:rFonts w:ascii="Times New Roman" w:hAnsi="Times New Roman" w:eastAsia="Times New Roman"/>
          <w:b w:val="0"/>
          <w:i w:val="0"/>
          <w:sz w:val="24"/>
        </w:rPr>
        <w:t>11. Wang S, Yu M, Jiang J, Zhang W, Guo X, Chang S, et al. Evidence Aggregation for Answer Re-Ranking in Open-Domain Question Answering. arXiv:1711.05116. 2017.</w:t>
      </w:r>
    </w:p>
    <w:p>
      <w:pPr>
        <w:spacing w:line="240" w:lineRule="auto" w:after="0"/>
        <w:ind w:left="425" w:hanging="425"/>
        <w:jc w:val="both"/>
      </w:pPr>
      <w:r>
        <w:rPr>
          <w:rFonts w:ascii="Times New Roman" w:hAnsi="Times New Roman" w:eastAsia="Times New Roman"/>
          <w:b w:val="0"/>
          <w:i w:val="0"/>
          <w:sz w:val="24"/>
        </w:rPr>
        <w:t>12. Hashimoto K, Zhou Y, Yavuz S, Xiong C, Yu PS. Dense Hierarchical Retrieval for Open-Domain Question Answering. 2021:188-200.</w:t>
      </w:r>
    </w:p>
    <w:p>
      <w:pPr>
        <w:spacing w:line="240" w:lineRule="auto" w:after="0"/>
        <w:ind w:left="425" w:hanging="425"/>
        <w:jc w:val="both"/>
      </w:pPr>
      <w:r>
        <w:rPr>
          <w:rFonts w:ascii="Times New Roman" w:hAnsi="Times New Roman" w:eastAsia="Times New Roman"/>
          <w:b w:val="0"/>
          <w:i w:val="0"/>
          <w:sz w:val="24"/>
        </w:rPr>
        <w:t>13. Caciularu A, Dagan I, Goldberger J, Cohan A. Long Context Question Answering via Supervised Contrastive Learning. 2021:2872-2879.</w:t>
      </w:r>
    </w:p>
    <w:p>
      <w:pPr>
        <w:spacing w:line="240" w:lineRule="auto" w:after="0"/>
        <w:ind w:left="425" w:hanging="425"/>
        <w:jc w:val="both"/>
      </w:pPr>
      <w:r>
        <w:rPr>
          <w:rFonts w:ascii="Times New Roman" w:hAnsi="Times New Roman" w:eastAsia="Times New Roman"/>
          <w:b w:val="0"/>
          <w:i w:val="0"/>
          <w:sz w:val="24"/>
        </w:rPr>
        <w:t>14. Ferguson J, Hajishirzi H, Dasigi P, Khot T. Retrieval Data Augmentation Informed by Downstream Question Answering Performance. Proceedings of the Fifth Fact Extraction and VERification Workshop. 2022. DOI: 10.18653/v1/2022.fever-1.1.</w:t>
      </w:r>
    </w:p>
    <w:p>
      <w:pPr>
        <w:keepNext/>
        <w:spacing w:line="240" w:lineRule="auto" w:after="120" w:before="240"/>
        <w:jc w:val="center"/>
      </w:pPr>
      <w:r>
        <w:rPr>
          <w:rFonts w:ascii="Times New Roman" w:hAnsi="Times New Roman" w:eastAsia="Times New Roman"/>
          <w:b/>
          <w:i w:val="0"/>
          <w:sz w:val="24"/>
        </w:rPr>
        <w:t>ИНФОРМАЦИЯ ОБ АВТОРЕ / INFORMATION ABOUT THE AUTHOR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36"/>
        <w:gridCol w:w="4536"/>
      </w:tblGrid>
      <w:tr>
        <w:trPr>
          <w:cantSplit/>
        </w:trPr>
        <w:tc>
          <w:tcPr>
            <w:tcW w:type="dxa" w:w="4535"/>
            <w:tcMar>
              <w:top w:w="100" w:type="dxa"/>
              <w:start w:w="100" w:type="dxa"/>
              <w:bottom w:w="100" w:type="dxa"/>
              <w:end w:w="100" w:type="dxa"/>
            </w:tcMar>
          </w:tcPr>
          <w:p>
            <w:pPr>
              <w:spacing w:after="0" w:line="240" w:lineRule="auto"/>
              <w:jc w:val="both"/>
            </w:pPr>
            <w:r>
              <w:rPr>
                <w:rFonts w:ascii="Times New Roman" w:hAnsi="Times New Roman" w:eastAsia="Times New Roman"/>
                <w:b/>
                <w:i w:val="0"/>
                <w:sz w:val="20"/>
              </w:rPr>
              <w:t>[Ф.И.О. полностью], [учёная степень, звание, должность], [полное название организации], [город], [страна].</w:t>
            </w:r>
            <w:r>
              <w:br/>
            </w:r>
            <w:r>
              <w:rPr>
                <w:rFonts w:ascii="Times New Roman" w:hAnsi="Times New Roman" w:eastAsia="Times New Roman"/>
                <w:b w:val="0"/>
                <w:i w:val="0"/>
                <w:sz w:val="20"/>
              </w:rPr>
              <w:t>e-mail: [адрес]</w:t>
            </w:r>
            <w:r>
              <w:br/>
            </w:r>
            <w:r>
              <w:rPr>
                <w:rFonts w:ascii="Times New Roman" w:hAnsi="Times New Roman" w:eastAsia="Times New Roman"/>
                <w:b w:val="0"/>
                <w:i w:val="0"/>
                <w:sz w:val="20"/>
              </w:rPr>
              <w:t>ORCID: [ссылка]</w:t>
            </w:r>
          </w:p>
        </w:tc>
        <w:tc>
          <w:tcPr>
            <w:tcW w:type="dxa" w:w="4535"/>
            <w:tcMar>
              <w:top w:w="100" w:type="dxa"/>
              <w:start w:w="100" w:type="dxa"/>
              <w:bottom w:w="100" w:type="dxa"/>
              <w:end w:w="100" w:type="dxa"/>
            </w:tcMar>
          </w:tcPr>
          <w:p>
            <w:pPr>
              <w:spacing w:after="0" w:line="240" w:lineRule="auto"/>
              <w:jc w:val="both"/>
            </w:pPr>
            <w:r>
              <w:rPr>
                <w:rFonts w:ascii="Times New Roman" w:hAnsi="Times New Roman" w:eastAsia="Times New Roman"/>
                <w:b/>
                <w:i w:val="0"/>
                <w:sz w:val="20"/>
                <w:lang w:val="en-US"/>
              </w:rPr>
              <w:t>[Full name], [academic degree, title, position], [full organization name], [city], [country].</w:t>
            </w:r>
            <w:r>
              <w:br/>
            </w:r>
            <w:r>
              <w:rPr>
                <w:rFonts w:ascii="Times New Roman" w:hAnsi="Times New Roman" w:eastAsia="Times New Roman"/>
                <w:b w:val="0"/>
                <w:i w:val="0"/>
                <w:sz w:val="20"/>
                <w:lang w:val="en-US"/>
              </w:rPr>
              <w:t>e-mail: [address]</w:t>
            </w:r>
            <w:r>
              <w:br/>
            </w:r>
            <w:r>
              <w:rPr>
                <w:rFonts w:ascii="Times New Roman" w:hAnsi="Times New Roman" w:eastAsia="Times New Roman"/>
                <w:b w:val="0"/>
                <w:i w:val="0"/>
                <w:sz w:val="20"/>
                <w:lang w:val="en-US"/>
              </w:rPr>
              <w:t>ORCID: [link]</w:t>
            </w:r>
          </w:p>
        </w:tc>
      </w:tr>
    </w:tbl>
    <w:p>
      <w:pPr>
        <w:spacing w:line="240" w:lineRule="auto" w:after="240" w:before="240"/>
        <w:jc w:val="center"/>
      </w:pPr>
      <w:r>
        <w:rPr>
          <w:rFonts w:ascii="Times New Roman" w:hAnsi="Times New Roman" w:eastAsia="Times New Roman"/>
          <w:b w:val="0"/>
          <w:i/>
          <w:sz w:val="24"/>
        </w:rPr>
        <w:t>Статья поступила в редакцию [дата]; одобрена после рецензирования [дата]; принята к публикации [дата].</w:t>
      </w:r>
    </w:p>
    <w:p>
      <w:pPr>
        <w:spacing w:line="240" w:lineRule="auto" w:after="120"/>
        <w:jc w:val="center"/>
      </w:pPr>
      <w:r>
        <w:rPr>
          <w:rFonts w:ascii="Times New Roman" w:hAnsi="Times New Roman" w:eastAsia="Times New Roman"/>
          <w:b w:val="0"/>
          <w:i/>
          <w:sz w:val="24"/>
          <w:lang w:val="en-US"/>
        </w:rPr>
        <w:t>The article was submitted [date]; approved after reviewing [date]; accepted for publication [date].</w:t>
      </w:r>
    </w:p>
    <w:sectPr w:rsidR="00C6418A">
      <w:headerReference w:type="default" r:id="rId15"/>
      <w:footerReference w:type="default" r:id="rId16"/>
      <w:headerReference w:type="first" r:id="rId17"/>
      <w:footerReference w:type="first" r:id="rId18"/>
      <w:footnotePr>
        <w:numRestart w:val="eachPage"/>
      </w:footnotePr>
      <w:pgSz w:w="11906" w:h="16838"/>
      <w:pgMar w:top="1417" w:right="1417" w:bottom="1417" w:left="1417"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FFB49" w14:textId="77777777" w:rsidR="00860920" w:rsidRDefault="00860920">
      <w:pPr>
        <w:spacing w:after="0" w:line="240" w:lineRule="auto"/>
      </w:pPr>
      <w:r>
        <w:separator/>
      </w:r>
    </w:p>
  </w:endnote>
  <w:endnote w:type="continuationSeparator" w:id="0">
    <w:p w14:paraId="30834F6F" w14:textId="77777777" w:rsidR="00860920" w:rsidRDefault="00860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21002A87" w:usb1="00000000" w:usb2="00000000" w:usb3="00000000" w:csb0="0001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CC"/>
    <w:family w:val="roman"/>
    <w:pitch w:val="variable"/>
    <w:sig w:usb0="20000287" w:usb1="00000000"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p14">
  <ns0:p ns2:paraId="073BB456" ns2:textId="16E643AA" ns0:rsidR="00C6418A" ns0:rsidRDefault="00093DF7" ns0:rsidP="00093DF7">
    <ns0:pPr>
      <ns0:pStyle ns0:val="aff1"/>
      <ns0:tabs>
        <ns0:tab ns0:val="clear" ns0:pos="9355"/>
        <ns0:tab ns0:val="right" ns0:pos="9070"/>
      </ns0:tabs>
      <ns0:spacing ns0:after="240"/>
    </ns0:pPr>
    <ns0:r>
      <ns0:rPr>
        <ns0:rFonts ns0:ascii="Times New Roman" ns0:eastAsia="Times New Roman" ns0:hAnsi="Times New Roman" ns0:cs="Times New Roman"/>
        <ns0:b ns0:val="0"/>
        <ns0:i ns0:val="0"/>
        <ns0:sz ns0:val="20"/>
        <ns0:lang ns0:eastAsia="ru-RU"/>
      </ns0:rPr>
      <ns0:tab/>
    </ns0:r>
    <ns0:r>
      <ns0:rPr>
        <ns0:rFonts ns0:ascii="Times New Roman" ns0:eastAsia="Times New Roman" ns0:hAnsi="Times New Roman" ns0:cs="Times New Roman"/>
        <ns0:b ns0:val="0"/>
        <ns0:i ns0:val="0"/>
        <ns0:sz ns0:val="20"/>
        <ns0:lang ns0:eastAsia="ru-RU"/>
      </ns0:rPr>
      <ns0:tab/>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eastAsia="Times New Roman" ns0:ascii="Times New Roman" ns0:hAnsi="Times New Roman"/>
        <ns0:b ns0:val="0"/>
        <ns0:i ns0:val="0"/>
        <ns0:sz ns0:val="20"/>
        <ns0:lang ns0:eastAsia="ru-RU"/>
      </ns0:rPr>
      <ns0:t>2</ns0:t>
    </ns0:r>
    <ns0:r ns0:rsidR="00A3192E">
      <ns0:rPr>
        <ns0:rFonts ns0:ascii="Times New Roman" ns0:eastAsia="Times New Roman" ns0:hAnsi="Times New Roman" ns0:cs="Times New Roman"/>
        <ns0:lang ns0:val="en-US" ns0:eastAsia="ru-RU"/>
      </ns0:rPr>
    </ns0:r>
    <ns0:r ns0:rsidR="00A3192E">
      <ns0:rPr>
        <ns0:rFonts ns0:ascii="Times New Roman" ns0:eastAsia="Times New Roman" ns0:hAnsi="Times New Roman" ns0:cs="Times New Roman"/>
        <ns0:b ns0:val="0"/>
        <ns0:i ns0:val="0"/>
        <ns0:sz ns0:val="20"/>
        <ns0:lang ns0:eastAsia="ru-RU"/>
      </ns0:rPr>
      <ns0:t xml:space="preserve"> | </ns0:t>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eastAsia="Times New Roman" ns0:ascii="Times New Roman" ns0:hAnsi="Times New Roman"/>
        <ns0:b ns0:val="0"/>
        <ns0:i ns0:val="0"/>
        <ns0:sz ns0:val="20"/>
        <ns0:lang ns0:eastAsia="ru-RU"/>
      </ns0:rPr>
      <ns0:t>9</ns0:t>
    </ns0:r>
    <ns0:r ns0:rsidR="00A3192E">
      <ns0:rPr>
        <ns0:rFonts ns0:ascii="Times New Roman" ns0:eastAsia="Times New Roman" ns0:hAnsi="Times New Roman" ns0:cs="Times New Roman"/>
        <ns0:lang ns0:val="en-US" ns0:eastAsia="ru-RU"/>
      </ns0:rPr>
    </ns0:r>
  </ns0:p>
</ns0:ftr>
</file>

<file path=word/footer2.xml><?xml version="1.0" encoding="utf-8"?>
<ns0:ftr xmlns:ns0="http://schemas.openxmlformats.org/wordprocessingml/2006/main" xmlns:ns1="http://schemas.openxmlformats.org/markup-compatibility/2006" xmlns:ns2="http://schemas.microsoft.com/office/word/2010/wordml" ns1:Ignorable="w14 w15 w16se w16cid w16 w16cex w16sdtdh wp14">
  <ns0:p ns2:paraId="4C08BB1E" ns2:textId="572FBE60" ns0:rsidR="00C6418A" ns0:rsidRDefault="00A3192E" ns0:rsidP="00FA4EB1">
    <ns0:pPr>
      <ns0:pStyle ns0:val="aff1"/>
      <ns0:tabs>
        <ns0:tab ns0:val="clear" ns0:pos="9355"/>
        <ns0:tab ns0:val="right" ns0:pos="9070"/>
      </ns0:tabs>
      <ns0:spacing ns0:after="240"/>
    </ns0:pPr>
    <ns0:bookmarkStart ns0:id="24" ns0:name="_Hlk124857823"/>
    <ns0:bookmarkStart ns0:id="25" ns0:name="_Hlk129958133"/>
    <ns0:r>
      <ns0:rPr>
        <ns0:rFonts ns0:ascii="Times New Roman" ns0:eastAsia="Times New Roman" ns0:hAnsi="Times New Roman" ns0:cs="Times New Roman"/>
        <ns0:b ns0:val="0"/>
        <ns0:i ns0:val="0"/>
        <ns0:sz ns0:val="20"/>
        <ns0:lang ns0:eastAsia="ru-RU"/>
      </ns0:rPr>
      <ns0:t>©</ns0:t>
    </ns0:r>
    <ns0:bookmarkEnd ns0:id="24"/>
    <ns0:r>
      <ns0:rPr>
        <ns0:rFonts ns0:ascii="Times New Roman" ns0:eastAsia="Times New Roman" ns0:hAnsi="Times New Roman" ns0:cs="Times New Roman"/>
        <ns0:b ns0:val="0"/>
        <ns0:i ns0:val="0"/>
        <ns0:sz ns0:val="20"/>
        <ns0:lang ns0:eastAsia="ru-RU"/>
      </ns0:rPr>
      <ns0:t xml:space="preserve"> </ns0:t>
    </ns0:r>
    <ns0:r>
      <ns0:rPr>
        <ns0:rFonts ns0:ascii="Times New Roman" ns0:hAnsi="Times New Roman" ns0:cs="Times New Roman" ns0:eastAsia="Times New Roman"/>
        <ns0:b ns0:val="0"/>
        <ns0:i ns0:val="0"/>
        <ns0:sz ns0:val="20"/>
      </ns0:rPr>
      <ns0:t>[Ф.И.О. автора], 202</ns0:t>
    </ns0:r>
    <ns0:bookmarkStart ns0:id="26" ns0:name="_Hlk127880111"/>
    <ns0:r ns0:rsidR="00FA4EB1">
      <ns0:rPr>
        <ns0:rFonts ns0:ascii="Times New Roman" ns0:hAnsi="Times New Roman" ns0:cs="Times New Roman" ns0:eastAsia="Times New Roman"/>
        <ns0:b ns0:val="0"/>
        <ns0:i ns0:val="0"/>
        <ns0:sz ns0:val="20"/>
      </ns0:rPr>
      <ns0:t>6</ns0:t>
    </ns0:r>
    <ns0:r ns0:rsidR="00FA4EB1">
      <ns0:rPr>
        <ns0:rFonts ns0:ascii="Times New Roman" ns0:hAnsi="Times New Roman" ns0:cs="Times New Roman" ns0:eastAsia="Times New Roman"/>
        <ns0:b ns0:val="0"/>
        <ns0:i ns0:val="0"/>
        <ns0:sz ns0:val="20"/>
      </ns0:rPr>
      <ns0:tab/>
    </ns0:r>
    <ns0:r ns0:rsidR="00FA4EB1">
      <ns0:rPr>
        <ns0:rFonts ns0:ascii="Times New Roman" ns0:hAnsi="Times New Roman" ns0:cs="Times New Roman" ns0:eastAsia="Times New Roman"/>
        <ns0:b ns0:val="0"/>
        <ns0:i ns0:val="0"/>
        <ns0:sz ns0:val="20"/>
      </ns0:rPr>
      <ns0:tab/>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b ns0:val="0"/>
        <ns0:i ns0:val="0"/>
        <ns0:sz ns0:val="20"/>
        <ns0:lang ns0:eastAsia="ru-RU"/>
      </ns0:rPr>
      <ns0:t>1</ns0:t>
    </ns0:r>
    <ns0:r>
      <ns0:rPr>
        <ns0:rFonts ns0:ascii="Times New Roman" ns0:eastAsia="Times New Roman" ns0:hAnsi="Times New Roman" ns0:cs="Times New Roman"/>
        <ns0:lang ns0:val="en-US" ns0:eastAsia="ru-RU"/>
      </ns0:rPr>
    </ns0:r>
    <ns0:r>
      <ns0:rPr>
        <ns0:rFonts ns0:ascii="Times New Roman" ns0:eastAsia="Times New Roman" ns0:hAnsi="Times New Roman" ns0:cs="Times New Roman"/>
        <ns0:b ns0:val="0"/>
        <ns0:i ns0:val="0"/>
        <ns0:sz ns0:val="20"/>
        <ns0:lang ns0:eastAsia="ru-RU"/>
      </ns0:rPr>
      <ns0:t xml:space="preserve"> | </ns0:t>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b ns0:val="0"/>
        <ns0:i ns0:val="0"/>
        <ns0:sz ns0:val="20"/>
        <ns0:lang ns0:eastAsia="ru-RU"/>
      </ns0:rPr>
      <ns0:t>9</ns0:t>
    </ns0:r>
    <ns0:r>
      <ns0:rPr>
        <ns0:rFonts ns0:ascii="Times New Roman" ns0:eastAsia="Times New Roman" ns0:hAnsi="Times New Roman" ns0:cs="Times New Roman"/>
        <ns0:lang ns0:val="en-US" ns0:eastAsia="ru-RU"/>
      </ns0:rPr>
    </ns0:r>
    <ns0:bookmarkEnd ns0:id="25"/>
    <ns0:bookmarkEnd ns0:id="26"/>
  </ns0:p>
</ns0: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46ED6" w14:textId="77777777" w:rsidR="00860920" w:rsidRDefault="00860920">
      <w:pPr>
        <w:spacing w:after="0" w:line="240" w:lineRule="auto"/>
      </w:pPr>
      <w:r>
        <w:separator/>
      </w:r>
    </w:p>
  </w:footnote>
  <w:footnote w:type="continuationSeparator" w:id="0">
    <w:p w14:paraId="4D90ED25" w14:textId="77777777" w:rsidR="00860920" w:rsidRDefault="00860920">
      <w:pPr>
        <w:spacing w:after="0" w:line="240" w:lineRule="auto"/>
      </w:pPr>
      <w:r>
        <w:continuationSeparator/>
      </w:r>
    </w:p>
  </w:footnote>
</w: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p14">
  <ns0:tbl>
    <ns0:tblPr>
      <ns0:tblW ns0:w="5000" ns0:type="pct"/>
      <ns0:tblInd ns0:w="-5" ns0:type="dxa"/>
      <ns0:tblBorders>
        <ns0:bottom ns0:val="thickThinLargeGap" ns0:sz="24" ns0:space="0" ns0:color="auto"/>
        <ns0:insideH ns0:val="single" ns0:sz="4" ns0:space="0" ns0:color="A6A6A6"/>
        <ns0:insideV ns0:val="single" ns0:sz="4" ns0:space="0" ns0:color="auto"/>
      </ns0:tblBorders>
      <ns0:tblLook ns0:val="01E0" ns0:firstRow="1" ns0:lastRow="1" ns0:firstColumn="1" ns0:lastColumn="1" ns0:noHBand="0" ns0:noVBand="0"/>
    </ns0:tblPr>
    <ns0:tblGrid>
      <ns0:gridCol ns0:w="7332"/>
      <ns0:gridCol ns0:w="1733"/>
    </ns0:tblGrid>
    <ns0:tr ns0:rsidR="00FA4EB1" ns0:rsidRPr="00FC6417" ns2:paraId="2D0A9708" ns2:textId="77777777" ns0:rsidTr="00513537">
      <ns0:tc>
        <ns0:tcPr>
          <ns0:tcW ns0:w="4044" ns0:type="pct"/>
          <ns0:tcBorders>
            <ns0:top ns0:val="thickThinLargeGap" ns0:sz="24" ns0:space="0" ns0:color="323E4F"/>
            <ns0:left ns0:val="single" ns0:sz="4" ns0:space="0" ns0:color="A6A6A6"/>
            <ns0:bottom ns0:val="thickThinLargeGap" ns0:sz="24" ns0:space="0" ns0:color="323E4F"/>
            <ns0:right ns0:val="single" ns0:sz="24" ns0:space="0" ns0:color="323E4F"/>
          </ns0:tcBorders>
          <ns0:shd ns0:val="clear" ns0:color="auto" ns0:fill="D5DCE4"/>
        </ns0:tcPr>
        <ns0:p ns2:paraId="473F27B5" ns2:textId="77777777" ns0:rsidR="00FA4EB1" ns0:rsidRPr="00FC6417" ns0:rsidRDefault="00FA4EB1" ns0:rsidP="00FA4EB1">
          <ns0:pPr>
            <ns0:tabs>
              <ns0:tab ns0:val="center" ns0:pos="4677"/>
              <ns0:tab ns0:val="right" ns0:pos="9355"/>
            </ns0:tabs>
            <ns0:spacing ns0:after="0" ns0:line="240" ns0:lineRule="auto"/>
            <ns0:rPr>
              <ns0:rFonts ns0:ascii="Times New Roman" ns0:eastAsia="Times New Roman" ns0:hAnsi="Times New Roman" ns0:cs="Times New Roman"/>
              <ns0:b/>
              <ns0:bCs/>
              <ns0:sz ns0:val="18"/>
              <ns0:szCs ns0:val="18"/>
            </ns0:rPr>
          </ns0:pPr>
          <ns0:bookmarkStart ns0:id="20" ns0:name="_Hlk178933320"/>
          <ns0:r ns0:rsidRPr="00FC6417">
            <ns0:rPr>
              <ns0:rFonts ns0:ascii="Times New Roman" ns0:eastAsia="Times New Roman" ns0:hAnsi="Times New Roman" ns0:cs="Times New Roman"/>
              <ns0:b/>
              <ns0:bCs/>
              <ns0:sz ns0:val="18"/>
              <ns0:szCs ns0:val="18"/>
            </ns0:rPr>
            <ns0:t xml:space="preserve">Моделирование, оптимизация и информационные технологии / </ns0:t>
          </ns0:r>
        </ns0:p>
        <ns0:p ns2:paraId="5CE3263D" ns2:textId="77777777" ns0:rsidR="00FA4EB1" ns0:rsidRPr="00FC6417" ns0:rsidRDefault="00FA4EB1" ns0:rsidP="00FA4EB1">
          <ns0:pPr>
            <ns0:tabs>
              <ns0:tab ns0:val="center" ns0:pos="4677"/>
              <ns0:tab ns0:val="right" ns0:pos="9355"/>
            </ns0:tabs>
            <ns0:spacing ns0:after="0" ns0:line="240" ns0:lineRule="auto"/>
            <ns0:rPr>
              <ns0:rFonts ns0:ascii="Times New Roman" ns0:eastAsia="Times New Roman" ns0:hAnsi="Times New Roman" ns0:cs="Times New Roman"/>
              <ns0:sz ns0:val="18"/>
              <ns0:szCs ns0:val="18"/>
              <ns0:lang ns0:val="en-US"/>
            </ns0:rPr>
          </ns0:pPr>
          <ns0:r ns0:rsidRPr="00FC6417">
            <ns0:rPr>
              <ns0:rFonts ns0:ascii="Times New Roman" ns0:eastAsia="Times New Roman" ns0:hAnsi="Times New Roman" ns0:cs="Times New Roman"/>
              <ns0:b/>
              <ns0:bCs/>
              <ns0:sz ns0:val="18"/>
              <ns0:szCs ns0:val="18"/>
              <ns0:lang ns0:val="en-US"/>
            </ns0:rPr>
            <ns0:t xml:space="preserve">Modeling, </ns0:t>
          </ns0:r>
          <ns0:r>
            <ns0:rPr>
              <ns0:rFonts ns0:ascii="Times New Roman" ns0:eastAsia="Times New Roman" ns0:hAnsi="Times New Roman" ns0:cs="Times New Roman"/>
              <ns0:b/>
              <ns0:bCs/>
              <ns0:sz ns0:val="18"/>
              <ns0:szCs ns0:val="18"/>
              <ns0:lang ns0:val="en-US"/>
            </ns0:rPr>
            <ns0:t>O</ns0:t>
          </ns0:r>
          <ns0:r ns0:rsidRPr="00FC6417">
            <ns0:rPr>
              <ns0:rFonts ns0:ascii="Times New Roman" ns0:eastAsia="Times New Roman" ns0:hAnsi="Times New Roman" ns0:cs="Times New Roman"/>
              <ns0:b/>
              <ns0:bCs/>
              <ns0:sz ns0:val="18"/>
              <ns0:szCs ns0:val="18"/>
              <ns0:lang ns0:val="en-US"/>
            </ns0:rPr>
            <ns0:t xml:space="preserve">ptimization and </ns0:t>
          </ns0:r>
          <ns0:r>
            <ns0:rPr>
              <ns0:rFonts ns0:ascii="Times New Roman" ns0:eastAsia="Times New Roman" ns0:hAnsi="Times New Roman" ns0:cs="Times New Roman"/>
              <ns0:b/>
              <ns0:bCs/>
              <ns0:sz ns0:val="18"/>
              <ns0:szCs ns0:val="18"/>
              <ns0:lang ns0:val="en-US"/>
            </ns0:rPr>
            <ns0:t>I</ns0:t>
          </ns0:r>
          <ns0:r ns0:rsidRPr="00FC6417">
            <ns0:rPr>
              <ns0:rFonts ns0:ascii="Times New Roman" ns0:eastAsia="Times New Roman" ns0:hAnsi="Times New Roman" ns0:cs="Times New Roman"/>
              <ns0:b/>
              <ns0:bCs/>
              <ns0:sz ns0:val="18"/>
              <ns0:szCs ns0:val="18"/>
              <ns0:lang ns0:val="en-US"/>
            </ns0:rPr>
            <ns0:t xml:space="preserve">nformation </ns0:t>
          </ns0:r>
          <ns0:r>
            <ns0:rPr>
              <ns0:rFonts ns0:ascii="Times New Roman" ns0:eastAsia="Times New Roman" ns0:hAnsi="Times New Roman" ns0:cs="Times New Roman"/>
              <ns0:b/>
              <ns0:bCs/>
              <ns0:sz ns0:val="18"/>
              <ns0:szCs ns0:val="18"/>
              <ns0:lang ns0:val="en-US"/>
            </ns0:rPr>
            <ns0:t>T</ns0:t>
          </ns0:r>
          <ns0:r ns0:rsidRPr="00FC6417">
            <ns0:rPr>
              <ns0:rFonts ns0:ascii="Times New Roman" ns0:eastAsia="Times New Roman" ns0:hAnsi="Times New Roman" ns0:cs="Times New Roman"/>
              <ns0:b/>
              <ns0:bCs/>
              <ns0:sz ns0:val="18"/>
              <ns0:szCs ns0:val="18"/>
              <ns0:lang ns0:val="en-US"/>
            </ns0:rPr>
            <ns0:t xml:space="preserve">echnology </ns0:t>
          </ns0:r>
        </ns0:p>
      </ns0:tc>
      <ns0:tc>
        <ns0:tcPr>
          <ns0:tcW ns0:w="956" ns0:type="pct"/>
          <ns0:tcBorders>
            <ns0:top ns0:val="thickThinLargeGap" ns0:sz="24" ns0:space="0" ns0:color="323E4F"/>
            <ns0:left ns0:val="single" ns0:sz="24" ns0:space="0" ns0:color="323E4F"/>
            <ns0:bottom ns0:val="thickThinLargeGap" ns0:sz="24" ns0:space="0" ns0:color="323E4F"/>
          </ns0:tcBorders>
          <ns0:shd ns0:val="clear" ns0:color="auto" ns0:fill="D5DCE4"/>
        </ns0:tcPr>
        <ns0:p ns2:paraId="113EEA0C" ns2:textId="6D2D3B8D" ns0:rsidR="00FA4EB1" ns0:rsidRPr="00FC6417" ns0:rsidRDefault="00FA4EB1" ns0:rsidP="00FA4EB1">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rPr>
            <ns0:t>20</ns0:t>
          </ns0:r>
          <ns0:r ns0:rsidRPr="00FC6417">
            <ns0:rPr>
              <ns0:rFonts ns0:ascii="Times New Roman" ns0:eastAsia="Times New Roman" ns0:hAnsi="Times New Roman" ns0:cs="Times New Roman"/>
              <ns0:b/>
              <ns0:sz ns0:val="18"/>
              <ns0:szCs ns0:val="18"/>
              <ns0:lang ns0:val="en-US"/>
            </ns0:rPr>
            <ns0:t>2</ns0:t>
          </ns0:r>
          <ns0:r ns0:rsidR="003C6001">
            <ns0:rPr>
              <ns0:rFonts ns0:ascii="Times New Roman" ns0:eastAsia="Times New Roman" ns0:hAnsi="Times New Roman" ns0:cs="Times New Roman"/>
              <ns0:b/>
              <ns0:sz ns0:val="18"/>
              <ns0:szCs ns0:val="18"/>
            </ns0:rPr>
            <ns0:t>6</ns0:t>
          </ns0:r>
          <ns0:r ns0:rsidRPr="00FC6417">
            <ns0:rPr>
              <ns0:rFonts ns0:ascii="Times New Roman" ns0:eastAsia="Times New Roman" ns0:hAnsi="Times New Roman" ns0:cs="Times New Roman"/>
              <ns0:b/>
              <ns0:sz ns0:val="18"/>
              <ns0:szCs ns0:val="18"/>
            </ns0:rPr>
            <ns0:t>;</ns0:t>
          </ns0:r>
          <ns0:r>
            <ns0:rPr>
              <ns0:rFonts ns0:ascii="Times New Roman" ns0:eastAsia="Times New Roman" ns0:hAnsi="Times New Roman" ns0:cs="Times New Roman"/>
              <ns0:b/>
              <ns0:sz ns0:val="18"/>
              <ns0:szCs ns0:val="18"/>
              <ns0:lang ns0:val="en-US"/>
            </ns0:rPr>
            <ns0:t>1</ns0:t>
          </ns0:r>
          <ns0:r ns0:rsidR="003C6001">
            <ns0:rPr>
              <ns0:rFonts ns0:ascii="Times New Roman" ns0:eastAsia="Times New Roman" ns0:hAnsi="Times New Roman" ns0:cs="Times New Roman"/>
              <ns0:b/>
              <ns0:sz ns0:val="18"/>
              <ns0:szCs ns0:val="18"/>
            </ns0:rPr>
            <ns0:t>4</ns0:t>
          </ns0:r>
          <ns0:r ns0:rsidRPr="00FC6417">
            <ns0:rPr>
              <ns0:rFonts ns0:ascii="Times New Roman" ns0:eastAsia="Times New Roman" ns0:hAnsi="Times New Roman" ns0:cs="Times New Roman"/>
              <ns0:b/>
              <ns0:sz ns0:val="18"/>
              <ns0:szCs ns0:val="18"/>
            </ns0:rPr>
            <ns0:t>(</ns0:t>
          </ns0:r>
          <ns0:r ns0:rsidR="003C6001">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rPr>
            <ns0:t>)</ns0:t>
          </ns0:r>
        </ns0:p>
        <ns0:p ns2:paraId="35A599D0" ns2:textId="77777777" ns0:rsidR="00FA4EB1" ns0:rsidRPr="00FC6417" ns0:rsidRDefault="00FA4EB1" ns0:rsidP="00FA4EB1">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lang ns0:val="en-US"/>
            </ns0:rPr>
            <ns0:t>https</ns0:t>
          </ns0:r>
          <ns0:r ns0:rsidRPr="00FC6417">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lang ns0:val="en-US"/>
            </ns0:rPr>
            <ns0:t>moitvivt.ru</ns0:t>
          </ns0:r>
        </ns0:p>
      </ns0:tc>
    </ns0:tr>
    <ns0:bookmarkEnd ns0:id="20"/>
  </ns0:tbl>
  <ns0:p ns2:paraId="08C96270" ns2:textId="77777777" ns0:rsidR="00C6418A" ns0:rsidRDefault="00C6418A">
    <ns0:pPr>
      <ns0:pStyle ns0:val="aff"/>
      <ns0:rPr>
        <ns0:rFonts ns0:ascii="Times New Roman" ns0:hAnsi="Times New Roman" ns0:cs="Times New Roman"/>
        <ns0:sz ns0:val="24"/>
        <ns0:szCs ns0:val="24"/>
      </ns0:rPr>
    </ns0:pPr>
  </ns0:p>
</ns0:hdr>
</file>

<file path=word/header2.xml><?xml version="1.0" encoding="utf-8"?>
<ns0:hdr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p14">
  <ns0:tbl>
    <ns0:tblPr>
      <ns0:tblW ns0:w="5000" ns0:type="pct"/>
      <ns0:tblInd ns0:w="-5" ns0:type="dxa"/>
      <ns0:tblBorders>
        <ns0:bottom ns0:val="thickThinLargeGap" ns0:sz="24" ns0:space="0" ns0:color="auto"/>
        <ns0:insideH ns0:val="single" ns0:sz="4" ns0:space="0" ns0:color="A6A6A6"/>
        <ns0:insideV ns0:val="single" ns0:sz="4" ns0:space="0" ns0:color="auto"/>
      </ns0:tblBorders>
      <ns0:tblLook ns0:val="01E0" ns0:firstRow="1" ns0:lastRow="1" ns0:firstColumn="1" ns0:lastColumn="1" ns0:noHBand="0" ns0:noVBand="0"/>
    </ns0:tblPr>
    <ns0:tblGrid>
      <ns0:gridCol ns0:w="7332"/>
      <ns0:gridCol ns0:w="1733"/>
    </ns0:tblGrid>
    <ns0:tr ns0:rsidR="00E754D4" ns0:rsidRPr="00FC6417" ns2:paraId="1A632CCC" ns2:textId="77777777" ns0:rsidTr="00513537">
      <ns0:tc>
        <ns0:tcPr>
          <ns0:tcW ns0:w="4044" ns0:type="pct"/>
          <ns0:tcBorders>
            <ns0:top ns0:val="thickThinLargeGap" ns0:sz="24" ns0:space="0" ns0:color="323E4F"/>
            <ns0:left ns0:val="single" ns0:sz="4" ns0:space="0" ns0:color="A6A6A6"/>
            <ns0:bottom ns0:val="thickThinLargeGap" ns0:sz="24" ns0:space="0" ns0:color="323E4F"/>
            <ns0:right ns0:val="single" ns0:sz="24" ns0:space="0" ns0:color="323E4F"/>
          </ns0:tcBorders>
          <ns0:shd ns0:val="clear" ns0:color="auto" ns0:fill="D5DCE4"/>
        </ns0:tcPr>
        <ns0:p ns2:paraId="4A5F4A9D" ns2:textId="77777777" ns0:rsidR="00E754D4" ns0:rsidRPr="00FC6417" ns0:rsidRDefault="00E754D4" ns0:rsidP="00E754D4">
          <ns0:pPr>
            <ns0:tabs>
              <ns0:tab ns0:val="center" ns0:pos="4677"/>
              <ns0:tab ns0:val="right" ns0:pos="9355"/>
            </ns0:tabs>
            <ns0:spacing ns0:after="0" ns0:line="240" ns0:lineRule="auto"/>
            <ns0:rPr>
              <ns0:rFonts ns0:ascii="Times New Roman" ns0:eastAsia="Times New Roman" ns0:hAnsi="Times New Roman" ns0:cs="Times New Roman"/>
              <ns0:b/>
              <ns0:bCs/>
              <ns0:sz ns0:val="18"/>
              <ns0:szCs ns0:val="18"/>
            </ns0:rPr>
          </ns0:pPr>
          <ns0:bookmarkStart ns0:id="21" ns0:name="_Hlk87132664"/>
          <ns0:bookmarkStart ns0:id="22" ns0:name="_Hlk115771519"/>
          <ns0:bookmarkStart ns0:id="23" ns0:name="_Hlk178932976"/>
          <ns0:r ns0:rsidRPr="00FC6417">
            <ns0:rPr>
              <ns0:rFonts ns0:ascii="Times New Roman" ns0:eastAsia="Times New Roman" ns0:hAnsi="Times New Roman" ns0:cs="Times New Roman"/>
              <ns0:noProof/>
              <ns0:sz ns0:val="24"/>
              <ns0:szCs ns0:val="24"/>
            </ns0:rPr>
            <ns0:drawing>
              <ns3:anchor distT="0" distB="0" distL="114300" distR="114300" simplePos="0" relativeHeight="251659264" behindDoc="0" locked="0" layoutInCell="1" allowOverlap="1" ns4:anchorId="69BA5896" ns4:editId="2CE56176">
                <ns3:simplePos x="0" y="0"/>
                <ns3:positionH relativeFrom="margin">
                  <ns3:posOffset>3753751</ns3:posOffset>
                </ns3:positionH>
                <ns3:positionV relativeFrom="paragraph">
                  <ns3:posOffset>-19685</ns3:posOffset>
                </ns3:positionV>
                <ns3:extent cx="863243" cy="298813"/>
                <ns3:effectExtent l="0" t="0" r="0" b="6350"/>
                <ns3:wrapNone/>
                <ns3:docPr id="8" name="Рисунок 8" descr="Изображение выглядит как текст, коллекция картинок&#10;&#10;Автоматически созданное описание"/>
                <ns3:cNvGraphicFramePr>
                  <ns5:graphicFrameLocks noChangeAspect="1"/>
                </ns3:cNvGraphicFramePr>
                <ns5:graphic>
                  <ns5:graphicData uri="http://schemas.openxmlformats.org/drawingml/2006/picture">
                    <ns6:pic>
                      <ns6:nvPicPr>
                        <ns6:cNvPr id="11" name="Рисунок 11" descr="Изображение выглядит как текст, коллекция картинок&#10;&#10;Автоматически созданное описание"/>
                        <ns6:cNvPicPr/>
                      </ns6:nvPicPr>
                      <ns6:blipFill>
                        <ns5:blip ns7:embed="rId1" cstate="print">
                          <ns5:extLst>
                            <ns5:ext uri="{28A0092B-C50C-407E-A947-70E740481C1C}">
                              <ns8:useLocalDpi val="0"/>
                            </ns5:ext>
                          </ns5:extLst>
                        </ns5:blip>
                        <ns5:stretch>
                          <ns5:fillRect/>
                        </ns5:stretch>
                      </ns6:blipFill>
                      <ns6:spPr>
                        <ns5:xfrm>
                          <ns5:off x="0" y="0"/>
                          <ns5:ext cx="863243" cy="298813"/>
                        </ns5:xfrm>
                        <ns5:prstGeom prst="rect">
                          <ns5:avLst/>
                        </ns5:prstGeom>
                      </ns6:spPr>
                    </ns6:pic>
                  </ns5:graphicData>
                </ns5:graphic>
                <ns4:sizeRelH relativeFrom="margin">
                  <ns4:pctWidth>0</ns4:pctWidth>
                </ns4:sizeRelH>
                <ns4:sizeRelV relativeFrom="margin">
                  <ns4:pctHeight>0</ns4:pctHeight>
                </ns4:sizeRelV>
              </ns3:anchor>
            </ns0:drawing>
          </ns0:r>
          <ns0:r ns0:rsidRPr="00FC6417">
            <ns0:rPr>
              <ns0:rFonts ns0:ascii="Times New Roman" ns0:eastAsia="Times New Roman" ns0:hAnsi="Times New Roman" ns0:cs="Times New Roman"/>
              <ns0:b/>
              <ns0:bCs/>
              <ns0:sz ns0:val="18"/>
              <ns0:szCs ns0:val="18"/>
            </ns0:rPr>
            <ns0:t xml:space="preserve">Моделирование, оптимизация и информационные технологии / </ns0:t>
          </ns0:r>
        </ns0:p>
        <ns0:p ns2:paraId="44BE3E01" ns2:textId="77777777" ns0:rsidR="00E754D4" ns0:rsidRPr="00FC6417" ns0:rsidRDefault="00E754D4" ns0:rsidP="00E754D4">
          <ns0:pPr>
            <ns0:tabs>
              <ns0:tab ns0:val="center" ns0:pos="4677"/>
              <ns0:tab ns0:val="right" ns0:pos="9355"/>
            </ns0:tabs>
            <ns0:spacing ns0:after="0" ns0:line="240" ns0:lineRule="auto"/>
            <ns0:rPr>
              <ns0:rFonts ns0:ascii="Times New Roman" ns0:eastAsia="Times New Roman" ns0:hAnsi="Times New Roman" ns0:cs="Times New Roman"/>
              <ns0:sz ns0:val="18"/>
              <ns0:szCs ns0:val="18"/>
              <ns0:lang ns0:val="en-US"/>
            </ns0:rPr>
          </ns0:pPr>
          <ns0:r ns0:rsidRPr="00FC6417">
            <ns0:rPr>
              <ns0:rFonts ns0:ascii="Times New Roman" ns0:eastAsia="Times New Roman" ns0:hAnsi="Times New Roman" ns0:cs="Times New Roman"/>
              <ns0:b/>
              <ns0:bCs/>
              <ns0:sz ns0:val="18"/>
              <ns0:szCs ns0:val="18"/>
              <ns0:lang ns0:val="en-US"/>
            </ns0:rPr>
            <ns0:t xml:space="preserve">Modeling, </ns0:t>
          </ns0:r>
          <ns0:r>
            <ns0:rPr>
              <ns0:rFonts ns0:ascii="Times New Roman" ns0:eastAsia="Times New Roman" ns0:hAnsi="Times New Roman" ns0:cs="Times New Roman"/>
              <ns0:b/>
              <ns0:bCs/>
              <ns0:sz ns0:val="18"/>
              <ns0:szCs ns0:val="18"/>
              <ns0:lang ns0:val="en-US"/>
            </ns0:rPr>
            <ns0:t>O</ns0:t>
          </ns0:r>
          <ns0:r ns0:rsidRPr="00FC6417">
            <ns0:rPr>
              <ns0:rFonts ns0:ascii="Times New Roman" ns0:eastAsia="Times New Roman" ns0:hAnsi="Times New Roman" ns0:cs="Times New Roman"/>
              <ns0:b/>
              <ns0:bCs/>
              <ns0:sz ns0:val="18"/>
              <ns0:szCs ns0:val="18"/>
              <ns0:lang ns0:val="en-US"/>
            </ns0:rPr>
            <ns0:t xml:space="preserve">ptimization and </ns0:t>
          </ns0:r>
          <ns0:r>
            <ns0:rPr>
              <ns0:rFonts ns0:ascii="Times New Roman" ns0:eastAsia="Times New Roman" ns0:hAnsi="Times New Roman" ns0:cs="Times New Roman"/>
              <ns0:b/>
              <ns0:bCs/>
              <ns0:sz ns0:val="18"/>
              <ns0:szCs ns0:val="18"/>
              <ns0:lang ns0:val="en-US"/>
            </ns0:rPr>
            <ns0:t>I</ns0:t>
          </ns0:r>
          <ns0:r ns0:rsidRPr="00FC6417">
            <ns0:rPr>
              <ns0:rFonts ns0:ascii="Times New Roman" ns0:eastAsia="Times New Roman" ns0:hAnsi="Times New Roman" ns0:cs="Times New Roman"/>
              <ns0:b/>
              <ns0:bCs/>
              <ns0:sz ns0:val="18"/>
              <ns0:szCs ns0:val="18"/>
              <ns0:lang ns0:val="en-US"/>
            </ns0:rPr>
            <ns0:t xml:space="preserve">nformation </ns0:t>
          </ns0:r>
          <ns0:r>
            <ns0:rPr>
              <ns0:rFonts ns0:ascii="Times New Roman" ns0:eastAsia="Times New Roman" ns0:hAnsi="Times New Roman" ns0:cs="Times New Roman"/>
              <ns0:b/>
              <ns0:bCs/>
              <ns0:sz ns0:val="18"/>
              <ns0:szCs ns0:val="18"/>
              <ns0:lang ns0:val="en-US"/>
            </ns0:rPr>
            <ns0:t>T</ns0:t>
          </ns0:r>
          <ns0:r ns0:rsidRPr="00FC6417">
            <ns0:rPr>
              <ns0:rFonts ns0:ascii="Times New Roman" ns0:eastAsia="Times New Roman" ns0:hAnsi="Times New Roman" ns0:cs="Times New Roman"/>
              <ns0:b/>
              <ns0:bCs/>
              <ns0:sz ns0:val="18"/>
              <ns0:szCs ns0:val="18"/>
              <ns0:lang ns0:val="en-US"/>
            </ns0:rPr>
            <ns0:t xml:space="preserve">echnology </ns0:t>
          </ns0:r>
        </ns0:p>
      </ns0:tc>
      <ns0:tc>
        <ns0:tcPr>
          <ns0:tcW ns0:w="956" ns0:type="pct"/>
          <ns0:tcBorders>
            <ns0:top ns0:val="thickThinLargeGap" ns0:sz="24" ns0:space="0" ns0:color="323E4F"/>
            <ns0:left ns0:val="single" ns0:sz="24" ns0:space="0" ns0:color="323E4F"/>
            <ns0:bottom ns0:val="thickThinLargeGap" ns0:sz="24" ns0:space="0" ns0:color="323E4F"/>
          </ns0:tcBorders>
          <ns0:shd ns0:val="clear" ns0:color="auto" ns0:fill="D5DCE4"/>
        </ns0:tcPr>
        <ns0:p ns2:paraId="515D8574" ns2:textId="6F7A5359" ns0:rsidR="00E754D4" ns0:rsidRPr="00FC6417" ns0:rsidRDefault="00E754D4" ns0:rsidP="00E754D4">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rPr>
            <ns0:t>20</ns0:t>
          </ns0:r>
          <ns0:r>
            <ns0:rPr>
              <ns0:rFonts ns0:ascii="Times New Roman" ns0:eastAsia="Times New Roman" ns0:hAnsi="Times New Roman" ns0:cs="Times New Roman"/>
              <ns0:b/>
              <ns0:sz ns0:val="18"/>
              <ns0:szCs ns0:val="18"/>
              <ns0:lang ns0:val="en-US"/>
            </ns0:rPr>
            <ns0:t>2</ns0:t>
          </ns0:r>
          <ns0:r ns0:rsidR="00093DF7">
            <ns0:rPr>
              <ns0:rFonts ns0:ascii="Times New Roman" ns0:eastAsia="Times New Roman" ns0:hAnsi="Times New Roman" ns0:cs="Times New Roman"/>
              <ns0:b/>
              <ns0:sz ns0:val="18"/>
              <ns0:szCs ns0:val="18"/>
            </ns0:rPr>
            <ns0:t>6</ns0:t>
          </ns0:r>
          <ns0:r ns0:rsidRPr="00FC6417">
            <ns0:rPr>
              <ns0:rFonts ns0:ascii="Times New Roman" ns0:eastAsia="Times New Roman" ns0:hAnsi="Times New Roman" ns0:cs="Times New Roman"/>
              <ns0:b/>
              <ns0:sz ns0:val="18"/>
              <ns0:szCs ns0:val="18"/>
            </ns0:rPr>
            <ns0:t>;</ns0:t>
          </ns0:r>
          <ns0:r>
            <ns0:rPr>
              <ns0:rFonts ns0:ascii="Times New Roman" ns0:eastAsia="Times New Roman" ns0:hAnsi="Times New Roman" ns0:cs="Times New Roman"/>
              <ns0:b/>
              <ns0:sz ns0:val="18"/>
              <ns0:szCs ns0:val="18"/>
            </ns0:rPr>
            <ns0:t>1</ns0:t>
          </ns0:r>
          <ns0:r ns0:rsidR="00093DF7">
            <ns0:rPr>
              <ns0:rFonts ns0:ascii="Times New Roman" ns0:eastAsia="Times New Roman" ns0:hAnsi="Times New Roman" ns0:cs="Times New Roman"/>
              <ns0:b/>
              <ns0:sz ns0:val="18"/>
              <ns0:szCs ns0:val="18"/>
            </ns0:rPr>
            <ns0:t>4</ns0:t>
          </ns0:r>
          <ns0:r ns0:rsidRPr="00FC6417">
            <ns0:rPr>
              <ns0:rFonts ns0:ascii="Times New Roman" ns0:eastAsia="Times New Roman" ns0:hAnsi="Times New Roman" ns0:cs="Times New Roman"/>
              <ns0:b/>
              <ns0:sz ns0:val="18"/>
              <ns0:szCs ns0:val="18"/>
            </ns0:rPr>
            <ns0:t>(</ns0:t>
          </ns0:r>
          <ns0:r ns0:rsidR="00093DF7">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rPr>
            <ns0:t>)</ns0:t>
          </ns0:r>
        </ns0:p>
        <ns0:p ns2:paraId="0BD58BDC" ns2:textId="77777777" ns0:rsidR="00E754D4" ns0:rsidRPr="00FC6417" ns0:rsidRDefault="00E754D4" ns0:rsidP="00E754D4">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lang ns0:val="en-US"/>
            </ns0:rPr>
            <ns0:t>https</ns0:t>
          </ns0:r>
          <ns0:r ns0:rsidRPr="00FC6417">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lang ns0:val="en-US"/>
            </ns0:rPr>
            <ns0:t>moitvivt.ru</ns0:t>
          </ns0:r>
          <ns0:bookmarkEnd ns0:id="21"/>
          <ns0:bookmarkEnd ns0:id="22"/>
        </ns0:p>
      </ns0:tc>
    </ns0:tr>
    <ns0:bookmarkEnd ns0:id="23"/>
  </ns0:tbl>
  <ns0:p ns2:paraId="09F9EC88" ns2:textId="77777777" ns0:rsidR="00C6418A" ns0:rsidRDefault="00C6418A">
    <ns0:pPr>
      <ns0:pStyle ns0:val="aff"/>
      <ns0:rPr>
        <ns0:rFonts ns0:ascii="Times New Roman" ns0:hAnsi="Times New Roman" ns0:cs="Times New Roman"/>
        <ns0:sz ns0:val="24"/>
        <ns0:szCs ns0:val="24"/>
      </ns0:rPr>
    </ns0:pPr>
  </ns0:p>
</ns0: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986"/>
    <w:multiLevelType w:val="multilevel"/>
    <w:tmpl w:val="C066A89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861FF"/>
    <w:multiLevelType w:val="multilevel"/>
    <w:tmpl w:val="A2C84FA0"/>
    <w:lvl w:ilvl="0">
      <w:start w:val="1"/>
      <w:numFmt w:val="decimal"/>
      <w:lvlText w:val="%1."/>
      <w:lvlJc w:val="left"/>
      <w:pPr>
        <w:ind w:left="720" w:hanging="360"/>
      </w:pPr>
      <w:rPr>
        <w:rFonts w:hint="default"/>
        <w:color w:val="FF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E43253"/>
    <w:multiLevelType w:val="multilevel"/>
    <w:tmpl w:val="9C24BE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EE75F8"/>
    <w:multiLevelType w:val="multilevel"/>
    <w:tmpl w:val="10A86A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A66BF4"/>
    <w:multiLevelType w:val="multilevel"/>
    <w:tmpl w:val="7AE644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C67F1D"/>
    <w:multiLevelType w:val="multilevel"/>
    <w:tmpl w:val="7D325F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D27DF3"/>
    <w:multiLevelType w:val="multilevel"/>
    <w:tmpl w:val="54B4FE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633635"/>
    <w:multiLevelType w:val="multilevel"/>
    <w:tmpl w:val="7870BE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F0339C4"/>
    <w:multiLevelType w:val="multilevel"/>
    <w:tmpl w:val="C84C8954"/>
    <w:lvl w:ilvl="0">
      <w:start w:val="1"/>
      <w:numFmt w:val="decimal"/>
      <w:lvlText w:val="%1."/>
      <w:lvlJc w:val="left"/>
      <w:pPr>
        <w:ind w:left="1065" w:hanging="7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0252604"/>
    <w:multiLevelType w:val="multilevel"/>
    <w:tmpl w:val="4C0837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920336D"/>
    <w:multiLevelType w:val="multilevel"/>
    <w:tmpl w:val="554235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924518C"/>
    <w:multiLevelType w:val="multilevel"/>
    <w:tmpl w:val="665093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4D01725"/>
    <w:multiLevelType w:val="multilevel"/>
    <w:tmpl w:val="58C282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8980412"/>
    <w:multiLevelType w:val="multilevel"/>
    <w:tmpl w:val="A98879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C4E7457"/>
    <w:multiLevelType w:val="multilevel"/>
    <w:tmpl w:val="1742BB8E"/>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CA6250E"/>
    <w:multiLevelType w:val="multilevel"/>
    <w:tmpl w:val="92A091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DB005B6"/>
    <w:multiLevelType w:val="multilevel"/>
    <w:tmpl w:val="8D9AC170"/>
    <w:lvl w:ilvl="0">
      <w:start w:val="1"/>
      <w:numFmt w:val="decimal"/>
      <w:lvlText w:val="%1."/>
      <w:lvlJc w:val="left"/>
      <w:pPr>
        <w:ind w:left="1428" w:hanging="360"/>
      </w:pPr>
      <w:rPr>
        <w:sz w:val="28"/>
        <w:szCs w:val="28"/>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7" w15:restartNumberingAfterBreak="0">
    <w:nsid w:val="5F6A1F7A"/>
    <w:multiLevelType w:val="multilevel"/>
    <w:tmpl w:val="A28A18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1C93205"/>
    <w:multiLevelType w:val="multilevel"/>
    <w:tmpl w:val="2CBC9E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4DC0649"/>
    <w:multiLevelType w:val="multilevel"/>
    <w:tmpl w:val="80B4FA9C"/>
    <w:lvl w:ilvl="0">
      <w:start w:val="1"/>
      <w:numFmt w:val="decimal"/>
      <w:lvlText w:val="%1."/>
      <w:lvlJc w:val="left"/>
      <w:pPr>
        <w:ind w:left="1428"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7766166"/>
    <w:multiLevelType w:val="multilevel"/>
    <w:tmpl w:val="8D1CE5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9995130"/>
    <w:multiLevelType w:val="multilevel"/>
    <w:tmpl w:val="A3D8056E"/>
    <w:lvl w:ilvl="0">
      <w:start w:val="1"/>
      <w:numFmt w:val="decimal"/>
      <w:lvlText w:val="%1."/>
      <w:lvlJc w:val="left"/>
      <w:pPr>
        <w:ind w:left="1428" w:hanging="360"/>
      </w:pPr>
      <w:rPr>
        <w:b/>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2" w15:restartNumberingAfterBreak="0">
    <w:nsid w:val="71A525C3"/>
    <w:multiLevelType w:val="multilevel"/>
    <w:tmpl w:val="C868F3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9"/>
  </w:num>
  <w:num w:numId="3">
    <w:abstractNumId w:val="21"/>
  </w:num>
  <w:num w:numId="4">
    <w:abstractNumId w:val="16"/>
  </w:num>
  <w:num w:numId="5">
    <w:abstractNumId w:val="13"/>
  </w:num>
  <w:num w:numId="6">
    <w:abstractNumId w:val="17"/>
  </w:num>
  <w:num w:numId="7">
    <w:abstractNumId w:val="11"/>
  </w:num>
  <w:num w:numId="8">
    <w:abstractNumId w:val="9"/>
  </w:num>
  <w:num w:numId="9">
    <w:abstractNumId w:val="5"/>
  </w:num>
  <w:num w:numId="10">
    <w:abstractNumId w:val="20"/>
  </w:num>
  <w:num w:numId="11">
    <w:abstractNumId w:val="18"/>
  </w:num>
  <w:num w:numId="12">
    <w:abstractNumId w:val="15"/>
  </w:num>
  <w:num w:numId="13">
    <w:abstractNumId w:val="8"/>
  </w:num>
  <w:num w:numId="14">
    <w:abstractNumId w:val="12"/>
  </w:num>
  <w:num w:numId="15">
    <w:abstractNumId w:val="14"/>
  </w:num>
  <w:num w:numId="16">
    <w:abstractNumId w:val="6"/>
  </w:num>
  <w:num w:numId="17">
    <w:abstractNumId w:val="1"/>
  </w:num>
  <w:num w:numId="18">
    <w:abstractNumId w:val="4"/>
  </w:num>
  <w:num w:numId="19">
    <w:abstractNumId w:val="2"/>
  </w:num>
  <w:num w:numId="20">
    <w:abstractNumId w:val="10"/>
  </w:num>
  <w:num w:numId="21">
    <w:abstractNumId w:val="22"/>
  </w:num>
  <w:num w:numId="22">
    <w:abstractNumId w:val="7"/>
  </w:num>
  <w:num w:numId="23">
    <w:abstractNumId w:val="0"/>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18A"/>
    <w:rsid w:val="00093DF7"/>
    <w:rsid w:val="003C6001"/>
    <w:rsid w:val="00860920"/>
    <w:rsid w:val="00A3192E"/>
    <w:rsid w:val="00C6418A"/>
    <w:rsid w:val="00E754D4"/>
    <w:rsid w:val="00FA4EB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01EEB"/>
  <w15:docId w15:val="{EA9D38BA-5FEB-407B-A558-B26C7F3FD57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eastAsia="Times New Roman"/>
      <w:sz w:val="24"/>
    </w:rPr>
  </w:style>
  <w:style w:type="paragraph" w:styleId="1">
    <w:name w:val="heading 1"/>
    <w:basedOn w:val="a"/>
    <w:next w:val="a"/>
    <w:link w:val="10"/>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365F91" w:themeColor="accent1" w:themeShade="BF"/>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10">
    <w:name w:val="Заголовок 1 Знак"/>
    <w:basedOn w:val="a0"/>
    <w:link w:val="1"/>
    <w:uiPriority w:val="9"/>
    <w:rPr>
      <w:rFonts w:ascii="Arial" w:eastAsia="Arial" w:hAnsi="Arial" w:cs="Arial"/>
      <w:color w:val="365F91" w:themeColor="accent1" w:themeShade="BF"/>
      <w:sz w:val="40"/>
      <w:szCs w:val="40"/>
    </w:rPr>
  </w:style>
  <w:style w:type="character" w:customStyle="1" w:styleId="20">
    <w:name w:val="Заголовок 2 Знак"/>
    <w:basedOn w:val="a0"/>
    <w:link w:val="2"/>
    <w:uiPriority w:val="9"/>
    <w:rPr>
      <w:rFonts w:ascii="Arial" w:eastAsia="Arial" w:hAnsi="Arial" w:cs="Arial"/>
      <w:color w:val="365F91" w:themeColor="accent1" w:themeShade="BF"/>
      <w:sz w:val="32"/>
      <w:szCs w:val="32"/>
    </w:rPr>
  </w:style>
  <w:style w:type="character" w:customStyle="1" w:styleId="30">
    <w:name w:val="Заголовок 3 Знак"/>
    <w:basedOn w:val="a0"/>
    <w:link w:val="3"/>
    <w:uiPriority w:val="9"/>
    <w:rPr>
      <w:rFonts w:ascii="Arial" w:eastAsia="Arial" w:hAnsi="Arial" w:cs="Arial"/>
      <w:color w:val="365F91"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365F91" w:themeColor="accent1" w:themeShade="BF"/>
    </w:rPr>
  </w:style>
  <w:style w:type="character" w:customStyle="1" w:styleId="50">
    <w:name w:val="Заголовок 5 Знак"/>
    <w:basedOn w:val="a0"/>
    <w:link w:val="5"/>
    <w:uiPriority w:val="9"/>
    <w:rPr>
      <w:rFonts w:ascii="Arial" w:eastAsia="Arial" w:hAnsi="Arial" w:cs="Arial"/>
      <w:color w:val="365F91"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3">
    <w:name w:val="Title"/>
    <w:basedOn w:val="a"/>
    <w:next w:val="a"/>
    <w:link w:val="a4"/>
    <w:uiPriority w:val="10"/>
    <w:qFormat/>
    <w:pPr>
      <w:spacing w:after="80" w:line="240" w:lineRule="auto"/>
      <w:contextualSpacing/>
    </w:pPr>
    <w:rPr>
      <w:rFonts w:ascii="Arial" w:eastAsia="Arial" w:hAnsi="Arial" w:cs="Arial"/>
      <w:spacing w:val="-10"/>
      <w:sz w:val="56"/>
      <w:szCs w:val="56"/>
    </w:rPr>
  </w:style>
  <w:style w:type="character" w:customStyle="1" w:styleId="a4">
    <w:name w:val="Заголовок Знак"/>
    <w:basedOn w:val="a0"/>
    <w:link w:val="a3"/>
    <w:uiPriority w:val="10"/>
    <w:rPr>
      <w:rFonts w:ascii="Arial" w:eastAsia="Arial" w:hAnsi="Arial" w:cs="Arial"/>
      <w:spacing w:val="-10"/>
      <w:sz w:val="56"/>
      <w:szCs w:val="56"/>
    </w:rPr>
  </w:style>
  <w:style w:type="paragraph" w:styleId="a5">
    <w:name w:val="Subtitle"/>
    <w:basedOn w:val="a"/>
    <w:next w:val="a"/>
    <w:link w:val="a6"/>
    <w:uiPriority w:val="11"/>
    <w:qFormat/>
    <w:pPr>
      <w:numPr>
        <w:ilvl w:val="1"/>
      </w:numPr>
    </w:pPr>
    <w:rPr>
      <w:color w:val="595959" w:themeColor="text1" w:themeTint="A6"/>
      <w:spacing w:val="15"/>
      <w:sz w:val="28"/>
      <w:szCs w:val="28"/>
    </w:rPr>
  </w:style>
  <w:style w:type="character" w:customStyle="1" w:styleId="a6">
    <w:name w:val="Подзаголовок Знак"/>
    <w:basedOn w:val="a0"/>
    <w:link w:val="a5"/>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7">
    <w:name w:val="Intense Emphasis"/>
    <w:basedOn w:val="a0"/>
    <w:uiPriority w:val="21"/>
    <w:qFormat/>
    <w:rPr>
      <w:i/>
      <w:iCs/>
      <w:color w:val="365F91" w:themeColor="accent1" w:themeShade="BF"/>
    </w:rPr>
  </w:style>
  <w:style w:type="paragraph" w:styleId="a8">
    <w:name w:val="Intense Quote"/>
    <w:basedOn w:val="a"/>
    <w:next w:val="a"/>
    <w:link w:val="a9"/>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9">
    <w:name w:val="Выделенная цитата Знак"/>
    <w:basedOn w:val="a0"/>
    <w:link w:val="a8"/>
    <w:uiPriority w:val="30"/>
    <w:rPr>
      <w:i/>
      <w:iCs/>
      <w:color w:val="365F91" w:themeColor="accent1" w:themeShade="BF"/>
    </w:rPr>
  </w:style>
  <w:style w:type="character" w:styleId="aa">
    <w:name w:val="Intense Reference"/>
    <w:basedOn w:val="a0"/>
    <w:uiPriority w:val="32"/>
    <w:qFormat/>
    <w:rPr>
      <w:b/>
      <w:bCs/>
      <w:smallCaps/>
      <w:color w:val="365F91" w:themeColor="accent1" w:themeShade="BF"/>
      <w:spacing w:val="5"/>
    </w:rPr>
  </w:style>
  <w:style w:type="paragraph" w:styleId="ab">
    <w:name w:val="No Spacing"/>
    <w:basedOn w:val="a"/>
    <w:uiPriority w:val="1"/>
    <w:qFormat/>
    <w:pPr>
      <w:spacing w:after="0" w:line="240" w:lineRule="auto"/>
    </w:pPr>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trong"/>
    <w:basedOn w:val="a0"/>
    <w:uiPriority w:val="22"/>
    <w:qFormat/>
    <w:rPr>
      <w:b/>
      <w:bCs/>
    </w:rPr>
  </w:style>
  <w:style w:type="character" w:styleId="af">
    <w:name w:val="Subtle Reference"/>
    <w:basedOn w:val="a0"/>
    <w:uiPriority w:val="31"/>
    <w:qFormat/>
    <w:rPr>
      <w:smallCaps/>
      <w:color w:val="5A5A5A" w:themeColor="text1" w:themeTint="A5"/>
    </w:rPr>
  </w:style>
  <w:style w:type="character" w:styleId="af0">
    <w:name w:val="Book Title"/>
    <w:basedOn w:val="a0"/>
    <w:uiPriority w:val="33"/>
    <w:qFormat/>
    <w:rPr>
      <w:b/>
      <w:bCs/>
      <w:i/>
      <w:iCs/>
      <w:spacing w:val="5"/>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f1">
    <w:name w:val="caption"/>
    <w:basedOn w:val="a"/>
    <w:next w:val="a"/>
    <w:uiPriority w:val="35"/>
    <w:unhideWhenUsed/>
    <w:qFormat/>
    <w:pPr>
      <w:spacing w:line="240" w:lineRule="auto"/>
    </w:pPr>
    <w:rPr>
      <w:i/>
      <w:iCs/>
      <w:color w:val="1F497D" w:themeColor="text2"/>
      <w:sz w:val="18"/>
      <w:szCs w:val="18"/>
    </w:rPr>
  </w:style>
  <w:style w:type="character" w:customStyle="1" w:styleId="FootnoteTextChar">
    <w:name w:val="Footnote Text Char"/>
    <w:basedOn w:val="a0"/>
    <w:uiPriority w:val="99"/>
    <w:semiHidden/>
    <w:rPr>
      <w:sz w:val="20"/>
      <w:szCs w:val="20"/>
    </w:rPr>
  </w:style>
  <w:style w:type="paragraph" w:styleId="af2">
    <w:name w:val="endnote text"/>
    <w:basedOn w:val="a"/>
    <w:link w:val="af3"/>
    <w:uiPriority w:val="99"/>
    <w:semiHidden/>
    <w:unhideWhenUsed/>
    <w:pPr>
      <w:spacing w:after="0" w:line="240" w:lineRule="auto"/>
    </w:pPr>
    <w:rPr>
      <w:sz w:val="20"/>
      <w:szCs w:val="20"/>
    </w:rPr>
  </w:style>
  <w:style w:type="character" w:customStyle="1" w:styleId="af3">
    <w:name w:val="Текст концевой сноски Знак"/>
    <w:basedOn w:val="a0"/>
    <w:link w:val="af2"/>
    <w:uiPriority w:val="99"/>
    <w:semiHidden/>
    <w:rPr>
      <w:sz w:val="20"/>
      <w:szCs w:val="20"/>
    </w:rPr>
  </w:style>
  <w:style w:type="character" w:styleId="af4">
    <w:name w:val="endnote reference"/>
    <w:basedOn w:val="a0"/>
    <w:uiPriority w:val="99"/>
    <w:semiHidden/>
    <w:unhideWhenUsed/>
    <w:rPr>
      <w:vertAlign w:val="superscript"/>
    </w:rPr>
  </w:style>
  <w:style w:type="character" w:styleId="af5">
    <w:name w:val="FollowedHyperlink"/>
    <w:basedOn w:val="a0"/>
    <w:uiPriority w:val="99"/>
    <w:semiHidden/>
    <w:unhideWhenUsed/>
    <w:rPr>
      <w:color w:val="800080" w:themeColor="followedHyperlink"/>
      <w:u w:val="single"/>
    </w:rPr>
  </w:style>
  <w:style w:type="paragraph" w:styleId="af6">
    <w:name w:val="TOC Heading"/>
    <w:uiPriority w:val="39"/>
    <w:unhideWhenUsed/>
  </w:style>
  <w:style w:type="paragraph" w:styleId="af7">
    <w:name w:val="table of figures"/>
    <w:basedOn w:val="a"/>
    <w:next w:val="a"/>
    <w:uiPriority w:val="99"/>
    <w:unhideWhenUsed/>
    <w:pPr>
      <w:spacing w:after="0"/>
    </w:pPr>
  </w:style>
  <w:style w:type="paragraph" w:styleId="af8">
    <w:name w:val="footnote text"/>
    <w:basedOn w:val="a"/>
    <w:link w:val="af9"/>
    <w:uiPriority w:val="99"/>
    <w:semiHidden/>
    <w:unhideWhenUsed/>
    <w:pPr>
      <w:spacing w:after="0" w:line="240" w:lineRule="auto"/>
    </w:pPr>
    <w:rPr>
      <w:sz w:val="20"/>
      <w:szCs w:val="20"/>
    </w:rPr>
  </w:style>
  <w:style w:type="character" w:customStyle="1" w:styleId="af9">
    <w:name w:val="Текст сноски Знак"/>
    <w:basedOn w:val="a0"/>
    <w:link w:val="af8"/>
    <w:uiPriority w:val="99"/>
    <w:semiHidden/>
    <w:rPr>
      <w:sz w:val="20"/>
      <w:szCs w:val="20"/>
    </w:rPr>
  </w:style>
  <w:style w:type="paragraph" w:styleId="afa">
    <w:name w:val="List Paragraph"/>
    <w:basedOn w:val="a"/>
    <w:uiPriority w:val="34"/>
    <w:qFormat/>
    <w:pPr>
      <w:ind w:left="720"/>
      <w:contextualSpacing/>
    </w:pPr>
  </w:style>
  <w:style w:type="character" w:styleId="afb">
    <w:name w:val="footnote reference"/>
    <w:basedOn w:val="a0"/>
    <w:uiPriority w:val="99"/>
    <w:semiHidden/>
    <w:unhideWhenUsed/>
    <w:rPr>
      <w:vertAlign w:val="superscript"/>
    </w:rPr>
  </w:style>
  <w:style w:type="table" w:styleId="afc">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d">
    <w:name w:val="Balloon Text"/>
    <w:basedOn w:val="a"/>
    <w:link w:val="afe"/>
    <w:uiPriority w:val="99"/>
    <w:semiHidden/>
    <w:unhideWhenUsed/>
    <w:pPr>
      <w:spacing w:after="0" w:line="240" w:lineRule="auto"/>
    </w:pPr>
    <w:rPr>
      <w:rFonts w:ascii="Tahoma" w:hAnsi="Tahoma" w:cs="Tahoma"/>
      <w:sz w:val="16"/>
      <w:szCs w:val="16"/>
    </w:rPr>
  </w:style>
  <w:style w:type="character" w:customStyle="1" w:styleId="afe">
    <w:name w:val="Текст выноски Знак"/>
    <w:basedOn w:val="a0"/>
    <w:link w:val="afd"/>
    <w:uiPriority w:val="99"/>
    <w:semiHidden/>
    <w:rPr>
      <w:rFonts w:ascii="Tahoma" w:hAnsi="Tahoma" w:cs="Tahoma"/>
      <w:sz w:val="16"/>
      <w:szCs w:val="16"/>
    </w:rPr>
  </w:style>
  <w:style w:type="paragraph" w:styleId="aff">
    <w:name w:val="header"/>
    <w:basedOn w:val="a"/>
    <w:link w:val="aff0"/>
    <w:uiPriority w:val="99"/>
    <w:unhideWhenUsed/>
    <w:pPr>
      <w:tabs>
        <w:tab w:val="center" w:pos="4677"/>
        <w:tab w:val="right" w:pos="9355"/>
      </w:tabs>
      <w:spacing w:after="0" w:line="240" w:lineRule="auto"/>
    </w:pPr>
  </w:style>
  <w:style w:type="character" w:customStyle="1" w:styleId="aff0">
    <w:name w:val="Верхний колонтитул Знак"/>
    <w:basedOn w:val="a0"/>
    <w:link w:val="aff"/>
    <w:uiPriority w:val="99"/>
  </w:style>
  <w:style w:type="paragraph" w:styleId="aff1">
    <w:name w:val="footer"/>
    <w:basedOn w:val="a"/>
    <w:link w:val="aff2"/>
    <w:uiPriority w:val="99"/>
    <w:unhideWhenUsed/>
    <w:pPr>
      <w:tabs>
        <w:tab w:val="center" w:pos="4677"/>
        <w:tab w:val="right" w:pos="9355"/>
      </w:tabs>
      <w:spacing w:after="0" w:line="240" w:lineRule="auto"/>
    </w:pPr>
  </w:style>
  <w:style w:type="character" w:customStyle="1" w:styleId="aff2">
    <w:name w:val="Нижний колонтитул Знак"/>
    <w:basedOn w:val="a0"/>
    <w:link w:val="aff1"/>
    <w:uiPriority w:val="99"/>
  </w:style>
  <w:style w:type="character" w:styleId="aff3">
    <w:name w:val="Hyperlink"/>
    <w:basedOn w:val="a0"/>
    <w:uiPriority w:val="99"/>
    <w:unhideWhenUsed/>
    <w:rPr>
      <w:color w:val="0000FF" w:themeColor="hyperlink"/>
      <w:u w:val="single"/>
    </w:rPr>
  </w:style>
  <w:style w:type="character" w:styleId="aff4">
    <w:name w:val="Placeholder Text"/>
    <w:basedOn w:val="a0"/>
    <w:uiPriority w:val="99"/>
    <w:semiHidden/>
    <w:rPr>
      <w:color w:val="808080"/>
    </w:rPr>
  </w:style>
  <w:style w:type="character" w:styleId="aff5">
    <w:name w:val="Unresolved Mention"/>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oitvivt.ru/ru/journal/pdf?id=&#1093;&#1093;&#1093;&#1093;" TargetMode="External"/><Relationship Id="rId13" Type="http://schemas.openxmlformats.org/officeDocument/2006/relationships/hyperlink" Target="mailto:email@mail.ru"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oitvivt.ru/downloads/trebovaniya_k_oformleniyu_ssylok_i_spisok_istochnikov.pdf?283"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moitvivt.ru/ru/journal/pdf?id=xxx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email@mail.ru" TargetMode="External"/><Relationship Id="rId14" Type="http://schemas.openxmlformats.org/officeDocument/2006/relationships/hyperlink" Target="mailto:email@mail.r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CF2EEB6-3BFD-4A58-B424-669968E27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2674</Words>
  <Characters>4314</Characters>
  <Application>Microsoft Office Word</Application>
  <DocSecurity>0</DocSecurity>
  <Lines>126</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Программный конвейер подготовки многоязычных данных для алгоритмов выбора фрагментов научного текста</dc:title>
  <dc:subject>Модели, методы и программные средства подготовки данных для алгоритмов обработки научного текста</dc:subject>
  <dc:creator>[Ф.И.О. автора]</dc:creator>
  <cp:keywords>2.3.5; программный конвейер; модель данных; верификация; вычислительный эксперимент; выбор фрагмента</cp:keywords>
  <dc:description>Научно-техническая редакция 2.3.5; восстановлено форматирование предтекстового блока по шаблону.</dc:description>
  <cp:lastModifiedBy>User</cp:lastModifiedBy>
  <cp:revision>4</cp:revision>
  <dcterms:created xsi:type="dcterms:W3CDTF">2025-01-13T09:03:00Z</dcterms:created>
  <dcterms:modified xsi:type="dcterms:W3CDTF">2025-01-16T11:24:00Z</dcterms:modified>
  <dc:identifier>235-50682f23c86686eb</dc:identifier>
</cp:coreProperties>
</file>