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left"/>
      </w:pPr>
      <w:r>
        <w:rPr>
          <w:rFonts w:ascii="Times New Roman" w:hAnsi="Times New Roman" w:eastAsia="Times New Roman"/>
          <w:b w:val="0"/>
          <w:i w:val="0"/>
          <w:sz w:val="24"/>
        </w:rPr>
        <w:t>УДК 004.8:004.912</w:t>
      </w:r>
    </w:p>
    <w:p>
      <w:pPr>
        <w:spacing w:line="240" w:lineRule="auto" w:after="0"/>
        <w:jc w:val="left"/>
      </w:pPr>
      <w:r>
        <w:rPr>
          <w:rFonts w:ascii="Times New Roman" w:hAnsi="Times New Roman" w:eastAsia="Times New Roman"/>
          <w:b w:val="0"/>
          <w:i w:val="0"/>
          <w:sz w:val="24"/>
        </w:rPr>
        <w:t>DOI: [будет присвоен редакцией]</w:t>
      </w:r>
    </w:p>
    <w:p>
      <w:pPr>
        <w:keepNext/>
        <w:spacing w:line="240" w:lineRule="auto" w:after="240" w:before="240"/>
        <w:jc w:val="center"/>
      </w:pPr>
      <w:r>
        <w:rPr>
          <w:rFonts w:ascii="Times New Roman" w:hAnsi="Times New Roman" w:eastAsia="Times New Roman"/>
          <w:b/>
          <w:i w:val="0"/>
          <w:sz w:val="32"/>
        </w:rPr>
        <w:t>Программный конвейер подготовки многоязычных данных для алгоритмов выбора фрагментов научного текста</w:t>
      </w:r>
    </w:p>
    <w:p>
      <w:pPr>
        <w:spacing w:line="240" w:lineRule="auto" w:after="120"/>
        <w:jc w:val="center"/>
      </w:pPr>
      <w:r>
        <w:rPr>
          <w:rFonts w:ascii="Times New Roman" w:hAnsi="Times New Roman" w:eastAsia="Times New Roman"/>
          <w:b/>
          <w:i w:val="0"/>
          <w:sz w:val="24"/>
        </w:rPr>
        <w:t>[Ф.И.О. автора]</w:t>
      </w:r>
      <w:r>
        <w:rPr>
          <w:rFonts w:ascii="Times New Roman" w:hAnsi="Times New Roman" w:eastAsia="Times New Roman"/>
          <w:b/>
          <w:i w:val="0"/>
          <w:sz w:val="24"/>
          <w:vertAlign w:val="superscript"/>
        </w:rPr>
        <w:t>1</w:t>
      </w:r>
      <w:r>
        <w:rPr>
          <w:rFonts w:ascii="Times New Roman" w:hAnsi="Times New Roman" w:eastAsia="Times New Roman"/>
          <w:b/>
          <w:i w:val="0"/>
          <w:sz w:val="24"/>
          <w:vertAlign w:val="superscript"/>
        </w:rPr>
        <w:t>*</w:t>
      </w:r>
    </w:p>
    <w:p>
      <w:pPr>
        <w:spacing w:line="240" w:lineRule="auto" w:after="120"/>
        <w:jc w:val="center"/>
      </w:pPr>
      <w:r>
        <w:rPr>
          <w:rFonts w:ascii="Times New Roman" w:hAnsi="Times New Roman" w:eastAsia="Times New Roman"/>
          <w:b w:val="0"/>
          <w:i/>
          <w:sz w:val="24"/>
          <w:vertAlign w:val="superscript"/>
        </w:rPr>
        <w:t>1</w:t>
      </w:r>
      <w:r>
        <w:rPr>
          <w:rFonts w:ascii="Times New Roman" w:hAnsi="Times New Roman" w:eastAsia="Times New Roman"/>
          <w:b w:val="0"/>
          <w:i/>
          <w:sz w:val="24"/>
        </w:rPr>
        <w:t>[Полное название организации], [город], [страна]</w:t>
      </w:r>
    </w:p>
    <w:p>
      <w:pPr>
        <w:spacing w:line="240" w:lineRule="auto" w:after="0" w:before="120"/>
        <w:jc w:val="both"/>
      </w:pPr>
      <w:r>
        <w:rPr>
          <w:rFonts w:ascii="Times New Roman" w:hAnsi="Times New Roman" w:eastAsia="Times New Roman"/>
          <w:b/>
          <w:i/>
          <w:sz w:val="24"/>
        </w:rPr>
        <w:t>Резюме.</w:t>
      </w:r>
      <w:r>
        <w:rPr>
          <w:rFonts w:ascii="Times New Roman" w:hAnsi="Times New Roman" w:eastAsia="Times New Roman"/>
          <w:b w:val="0"/>
          <w:i w:val="0"/>
          <w:sz w:val="24"/>
        </w:rPr>
        <w:t xml:space="preserve"> Рассматривается программный конвейер формирования многоязычных наборов данных для алгоритмов выбора подтверждающего фрагмента в научном документе. Английские корпуса SciREX и SciER и русские корпуса RuSERRC и SciMDIX выбраны вследствие пересечения базовых аспектов «задача» и «метод» при одновременном различии языка, длины документа и детализации аннотаций. Такое сочетание позволяет проверить переносимость алгоритма и отделить языковой фактор от влияния структуры корпуса. Конвейер реализует единое промежуточное представление, детерминированную сегментацию, перенос символьных и токенных границ, пять вариантов запроса для каждого аспекта, построение сложных отрицательных примеров и контроль возможности извлечения ответа. Каждое преобразование связано с контролируемым риском: версии и контрольные суммы предотвращают незаметную замену источника; проверка границ выявляет повреждение разметки; документное разбиение исключает утечку близких фрагментов; аудиторский слой сохраняет неоднозначные экземпляры и позволяет заменить модель ответа без восстановления корпуса. Для оценки использованы официальные train/dev/test части SciREX и SciER. В SciMDIX официальная схема train/test дополнена внутренней validation-частью, выделенной только из train. Для RuSERRC, не имеющего официального test, применён заранее зафиксированный документный holdout. В отдельном опыте SciER сопоставлены конфигурации 128/24 и 384/50; в основном межкорпусном сравнении использована 384/50. Установлено, что параметры сегментации меняют пространство кандидатов и долю ответоспособных вопросов. На русскоязычных данных наибольший вклад вносит базовый алгоритм ранжирования, а на английских полнотекстовых документах дополнительную пользу дают признаки модели извлечения ответа.</w:t>
      </w:r>
    </w:p>
    <w:p>
      <w:pPr>
        <w:spacing w:line="240" w:lineRule="auto" w:after="0" w:before="120"/>
        <w:jc w:val="both"/>
      </w:pPr>
      <w:r>
        <w:rPr>
          <w:rFonts w:ascii="Times New Roman" w:hAnsi="Times New Roman" w:eastAsia="Times New Roman"/>
          <w:b/>
          <w:i/>
          <w:sz w:val="24"/>
        </w:rPr>
        <w:t>Ключевые слова:</w:t>
      </w:r>
      <w:r>
        <w:rPr>
          <w:rFonts w:ascii="Times New Roman" w:hAnsi="Times New Roman" w:eastAsia="Times New Roman"/>
          <w:b w:val="0"/>
          <w:i w:val="0"/>
          <w:sz w:val="24"/>
        </w:rPr>
        <w:t xml:space="preserve"> программный конвейер, модель данных, обработка естественного языка, научный текст, выбор фрагмента, ранжирование, извлечение ответа, верификация данных, вычислительный эксперимент, воспроизводимость.</w:t>
      </w:r>
    </w:p>
    <w:p>
      <w:pPr>
        <w:spacing w:line="240" w:lineRule="auto" w:after="0" w:before="12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after="0" w:before="120"/>
        <w:jc w:val="both"/>
      </w:pPr>
      <w:r>
        <w:rPr>
          <w:rFonts w:ascii="Times New Roman" w:hAnsi="Times New Roman" w:eastAsia="Times New Roman"/>
          <w:b/>
          <w:i/>
          <w:sz w:val="24"/>
        </w:rPr>
        <w:t>Для цитирования:</w:t>
      </w:r>
      <w:r>
        <w:rPr>
          <w:rFonts w:ascii="Times New Roman" w:hAnsi="Times New Roman" w:eastAsia="Times New Roman"/>
          <w:b w:val="0"/>
          <w:i w:val="0"/>
          <w:sz w:val="24"/>
        </w:rPr>
        <w:t xml:space="preserve"> [Фамилия И.О.] Программный конвейер подготовки многоязычных данных для алгоритмов выбора фрагментов научного текста. Моделирование, оптимизация и информационные технологии. 2026;14(*). DOI: [будет присвоен редакцией].</w:t>
      </w:r>
    </w:p>
    <w:p>
      <w:pPr>
        <w:keepNext/>
        <w:spacing w:line="240" w:lineRule="auto" w:after="240" w:before="240"/>
        <w:jc w:val="center"/>
      </w:pPr>
      <w:r>
        <w:rPr>
          <w:rFonts w:ascii="Times New Roman" w:hAnsi="Times New Roman" w:eastAsia="Times New Roman"/>
          <w:b/>
          <w:i w:val="0"/>
          <w:sz w:val="32"/>
          <w:lang w:val="en-US"/>
        </w:rPr>
        <w:t>A Software Pipeline for Preparing Multilingual Data for Scientific-Text Fragment Selection Algorithms</w:t>
      </w:r>
    </w:p>
    <w:p>
      <w:pPr>
        <w:spacing w:line="240" w:lineRule="auto" w:after="120"/>
        <w:jc w:val="center"/>
      </w:pPr>
      <w:r>
        <w:rPr>
          <w:rFonts w:ascii="Times New Roman" w:hAnsi="Times New Roman" w:eastAsia="Times New Roman"/>
          <w:b/>
          <w:i w:val="0"/>
          <w:sz w:val="24"/>
          <w:lang w:val="en-US"/>
        </w:rPr>
        <w:t>[Author full name]</w:t>
      </w:r>
      <w:r>
        <w:rPr>
          <w:rFonts w:ascii="Times New Roman" w:hAnsi="Times New Roman" w:eastAsia="Times New Roman"/>
          <w:b/>
          <w:i w:val="0"/>
          <w:sz w:val="24"/>
          <w:vertAlign w:val="superscript"/>
          <w:lang w:val="en-US"/>
        </w:rPr>
        <w:t>1</w:t>
      </w:r>
      <w:r>
        <w:rPr>
          <w:rFonts w:ascii="Times New Roman" w:hAnsi="Times New Roman" w:eastAsia="Times New Roman"/>
          <w:b/>
          <w:i w:val="0"/>
          <w:sz w:val="24"/>
          <w:vertAlign w:val="superscript"/>
          <w:lang w:val="en-US"/>
        </w:rPr>
        <w:t>*</w:t>
      </w:r>
    </w:p>
    <w:p>
      <w:pPr>
        <w:spacing w:line="240" w:lineRule="auto" w:after="120"/>
        <w:jc w:val="center"/>
      </w:pPr>
      <w:r>
        <w:rPr>
          <w:rFonts w:ascii="Times New Roman" w:hAnsi="Times New Roman" w:eastAsia="Times New Roman"/>
          <w:b w:val="0"/>
          <w:i/>
          <w:sz w:val="24"/>
          <w:vertAlign w:val="superscript"/>
          <w:lang w:val="en-US"/>
        </w:rPr>
        <w:t>1</w:t>
      </w:r>
      <w:r>
        <w:rPr>
          <w:rFonts w:ascii="Times New Roman" w:hAnsi="Times New Roman" w:eastAsia="Times New Roman"/>
          <w:b w:val="0"/>
          <w:i/>
          <w:sz w:val="24"/>
          <w:lang w:val="en-US"/>
        </w:rPr>
        <w:t>[Full organization name], [city], [country]</w:t>
      </w:r>
    </w:p>
    <w:p>
      <w:pPr>
        <w:spacing w:line="240" w:lineRule="auto" w:after="0" w:before="120"/>
        <w:jc w:val="both"/>
      </w:pPr>
      <w:r>
        <w:rPr>
          <w:rFonts w:ascii="Times New Roman" w:hAnsi="Times New Roman" w:eastAsia="Times New Roman"/>
          <w:b/>
          <w:i/>
          <w:sz w:val="24"/>
          <w:lang w:val="en-US"/>
        </w:rPr>
        <w:t>Abstract.</w:t>
      </w:r>
      <w:r>
        <w:rPr>
          <w:rFonts w:ascii="Times New Roman" w:hAnsi="Times New Roman" w:eastAsia="Times New Roman"/>
          <w:b w:val="0"/>
          <w:i w:val="0"/>
          <w:sz w:val="24"/>
          <w:lang w:val="en-US"/>
        </w:rPr>
        <w:t xml:space="preserve"> The paper presents a software pipeline for constructing multilingual datasets used to evaluate supporting-fragment selection algorithms within scientific documents. The English SciREX and SciER corpora and the Russian RuSERRC and SciMDIX corpora were selected because they share the core task and method aspects while differing in language, document length, and annotation granularity. This combination permits transferability analysis and separates language effects from corpus-structure effects. The pipeline implements a unified intermediate representation, deterministic segmentation, boundary transfer, five query variants per aspect, hard-negative construction, and extractive-answerability control. Each transformation addresses a specific validity risk: revisions and checksums prevent source substitution; boundary checks detect annotation corruption; document-level partitions prevent fragment leakage; and the audit layer retains ambiguous instances for subsequent reader replacement. Official train/dev/test partitions are used for SciREX and SciER. The official SciMDIX train/test partition is supplemented with an internal validation subset drawn only from train. Because RuSERRC has no official test partition, a pre-specified document-level holdout is used. SciER 128/24 and 384/50 segmentation configurations are evaluated separately, while only 384/50 enters the main cross-corpus comparison. Segmentation parameters alter both the candidate space and the proportion of answerable questions. Russian performance is determined primarily by the base ranking algorithm, whereas English full-text documents benefit additionally from answer-extraction features.</w:t>
      </w:r>
    </w:p>
    <w:p>
      <w:pPr>
        <w:spacing w:line="240" w:lineRule="auto" w:after="0" w:before="120"/>
        <w:jc w:val="both"/>
      </w:pPr>
      <w:r>
        <w:rPr>
          <w:rFonts w:ascii="Times New Roman" w:hAnsi="Times New Roman" w:eastAsia="Times New Roman"/>
          <w:b/>
          <w:i/>
          <w:sz w:val="24"/>
          <w:lang w:val="en-US"/>
        </w:rPr>
        <w:t>Keywords:</w:t>
      </w:r>
      <w:r>
        <w:rPr>
          <w:rFonts w:ascii="Times New Roman" w:hAnsi="Times New Roman" w:eastAsia="Times New Roman"/>
          <w:b w:val="0"/>
          <w:i w:val="0"/>
          <w:sz w:val="24"/>
          <w:lang w:val="en-US"/>
        </w:rPr>
        <w:t xml:space="preserve"> software pipeline, data model, natural language processing, scientific text, fragment selection, ranking, extractive question answering, data verification, computational experiment, reproducibility.</w:t>
      </w:r>
    </w:p>
    <w:p>
      <w:pPr>
        <w:spacing w:line="240" w:lineRule="auto" w:after="0" w:before="120"/>
        <w:jc w:val="both"/>
      </w:pPr>
      <w:r>
        <w:rPr>
          <w:rFonts w:ascii="Times New Roman" w:hAnsi="Times New Roman" w:eastAsia="Times New Roman"/>
          <w:b/>
          <w:i/>
          <w:sz w:val="24"/>
          <w:lang w:val="en-US"/>
        </w:rPr>
        <w:t>Acknowledgements:</w:t>
      </w:r>
      <w:r>
        <w:rPr>
          <w:rFonts w:ascii="Times New Roman" w:hAnsi="Times New Roman" w:eastAsia="Times New Roman"/>
          <w:b w:val="0"/>
          <w:i w:val="0"/>
          <w:sz w:val="24"/>
          <w:lang w:val="en-US"/>
        </w:rPr>
        <w:t xml:space="preserve"> [to be provided if applicable].</w:t>
      </w:r>
    </w:p>
    <w:p>
      <w:pPr>
        <w:spacing w:line="240" w:lineRule="auto" w:after="0" w:before="120"/>
        <w:jc w:val="both"/>
      </w:pPr>
      <w:r>
        <w:rPr>
          <w:rFonts w:ascii="Times New Roman" w:hAnsi="Times New Roman" w:eastAsia="Times New Roman"/>
          <w:b/>
          <w:i/>
          <w:sz w:val="24"/>
          <w:lang w:val="en-US"/>
        </w:rPr>
        <w:t>For citation:</w:t>
      </w:r>
      <w:r>
        <w:rPr>
          <w:rFonts w:ascii="Times New Roman" w:hAnsi="Times New Roman" w:eastAsia="Times New Roman"/>
          <w:b w:val="0"/>
          <w:i w:val="0"/>
          <w:sz w:val="24"/>
          <w:lang w:val="en-US"/>
        </w:rPr>
        <w:t xml:space="preserve"> [Author surname and initials]. A Software Pipeline for Preparing Multilingual Data for Scientific-Text Fragment Selection Algorithms. Modeling, Optimization and Information Technology. 2026;14(*). (In Russ.). DOI: [to be assigned].</w:t>
      </w:r>
    </w:p>
    <w:p>
      <w:pPr>
        <w:keepNext/>
        <w:spacing w:line="240" w:lineRule="auto" w:after="120" w:before="240"/>
        <w:jc w:val="center"/>
      </w:pPr>
      <w:r>
        <w:rPr>
          <w:rFonts w:ascii="Times New Roman" w:hAnsi="Times New Roman" w:eastAsia="Times New Roman"/>
          <w:b/>
          <w:i w:val="0"/>
          <w:sz w:val="24"/>
        </w:rPr>
        <w:t>Введение</w:t>
      </w:r>
    </w:p>
    <w:p>
      <w:pPr>
        <w:spacing w:line="240" w:lineRule="auto" w:after="0"/>
        <w:ind w:firstLine="709"/>
        <w:jc w:val="both"/>
      </w:pPr>
      <w:r>
        <w:rPr>
          <w:rFonts w:ascii="Times New Roman" w:hAnsi="Times New Roman" w:eastAsia="Times New Roman"/>
          <w:b w:val="0"/>
          <w:i w:val="0"/>
          <w:sz w:val="24"/>
        </w:rPr>
        <w:t>Автоматизированный анализ научных публикаций требует локализации текстового фрагмента, содержащего сведения о методе, задаче, материале, результате или ином заданном аспекте. В рассматриваемой постановке документ известен заранее; алгоритм должен упорядочить его фрагменты относительно вопроса и передать модели извлечения ответа ограниченное число кандидатов. Ошибка ранжирования на этом этапе распространяется на все последующие компоненты программной системы. Для полнотекстовой статьи задача особенно сложна: терминологически близкие упоминания распределены между аннотацией, описанием метода, экспериментальным разделом, таблицами и выводами.</w:t>
      </w:r>
    </w:p>
    <w:p>
      <w:pPr>
        <w:spacing w:line="240" w:lineRule="auto" w:after="0"/>
        <w:ind w:firstLine="709"/>
        <w:jc w:val="both"/>
      </w:pPr>
      <w:r>
        <w:rPr>
          <w:rFonts w:ascii="Times New Roman" w:hAnsi="Times New Roman" w:eastAsia="Times New Roman"/>
          <w:b w:val="0"/>
          <w:i w:val="0"/>
          <w:sz w:val="24"/>
        </w:rPr>
        <w:t>Доступные корпуса научного текста несовместимы на уровне форматов и единиц аннотации. SciREX описывает сущности типов «метод», «задача», «метрика» и «набор данных» в полном документе [1]. RuSERRC содержит русскоязычные научно-технические тексты с разметкой сущностей, отношений и аспектов [2, 3]. В SciMDIX представлены русские научные аннотации четырёх предметных областей с отдельными слоями аспектов, сущностей и отношений [4, 5]. SciER включает 106 полнотекстовых статей, более 24 тыс. упоминаний сущностей и более 12 тыс. отношений [6]. Выбор этих источников обусловлен двумя критериями. Аспекты задачи и метода присутствуют во всех четырёх корпусах и образуют общую содержательную основу. Остальные аспекты и типы документов различаются, поэтому совокупность корпусов позволяет проверить один алгоритмический принцип при изменении языка, длины контекста и состава целевых сведений.</w:t>
      </w:r>
    </w:p>
    <w:p>
      <w:pPr>
        <w:keepNext/>
        <w:spacing w:line="240" w:lineRule="auto" w:after="0" w:before="240"/>
        <w:jc w:val="both"/>
      </w:pPr>
      <w:r>
        <w:rPr>
          <w:rFonts w:ascii="Times New Roman" w:hAnsi="Times New Roman" w:eastAsia="Times New Roman"/>
          <w:sz w:val="24"/>
        </w:rPr>
        <w:t>Таблица 1 - Соответствие аспектов и основания выбора корпусов</w:t>
      </w:r>
    </w:p>
    <w:p>
      <w:pPr>
        <w:keepNext/>
        <w:spacing w:line="240" w:lineRule="auto" w:after="120"/>
        <w:jc w:val="both"/>
      </w:pPr>
      <w:r>
        <w:rPr>
          <w:rFonts w:ascii="Times New Roman" w:hAnsi="Times New Roman" w:eastAsia="Times New Roman"/>
          <w:sz w:val="24"/>
        </w:rPr>
        <w:t>Table 1 - Aspect correspondence and rationale for corpus selection</w:t>
      </w:r>
    </w:p>
    <w:tbl>
      <w:tblPr>
        <w:tblW w:type="auto" w:w="0"/>
        <w:tblLayout w:type="autofit"/>
        <w:tblLook w:firstColumn="1" w:firstRow="1" w:lastColumn="0" w:lastRow="0" w:noHBand="0" w:noVBand="1" w:val="04A0"/>
      </w:tblPr>
      <w:tblGrid>
        <w:gridCol w:w="1814"/>
        <w:gridCol w:w="1814"/>
        <w:gridCol w:w="1814"/>
        <w:gridCol w:w="1814"/>
        <w:gridCol w:w="1814"/>
      </w:tblGrid>
      <w:tr>
        <w:trPr>
          <w:tblHeader/>
          <w:cantSplit/>
        </w:trPr>
        <w:tc>
          <w:tcPr>
            <w:tcW w:type="dxa" w:w="1814"/>
          </w:tcPr>
          <w:p>
            <w:pPr>
              <w:spacing w:before="0" w:after="0"/>
            </w:pPr>
            <w:r>
              <w:rPr>
                <w:rFonts w:ascii="Times New Roman" w:hAnsi="Times New Roman" w:eastAsia="Times New Roman"/>
                <w:b/>
                <w:sz w:val="16"/>
              </w:rPr>
              <w:t>Обобщённый аспект</w:t>
            </w:r>
          </w:p>
        </w:tc>
        <w:tc>
          <w:tcPr>
            <w:tcW w:type="dxa" w:w="1814"/>
          </w:tcPr>
          <w:p>
            <w:pPr>
              <w:spacing w:before="0" w:after="0"/>
            </w:pPr>
            <w:r>
              <w:rPr>
                <w:rFonts w:ascii="Times New Roman" w:hAnsi="Times New Roman" w:eastAsia="Times New Roman"/>
                <w:b/>
                <w:sz w:val="16"/>
              </w:rPr>
              <w:t>SciREX</w:t>
            </w:r>
          </w:p>
        </w:tc>
        <w:tc>
          <w:tcPr>
            <w:tcW w:type="dxa" w:w="1814"/>
          </w:tcPr>
          <w:p>
            <w:pPr>
              <w:spacing w:before="0" w:after="0"/>
            </w:pPr>
            <w:r>
              <w:rPr>
                <w:rFonts w:ascii="Times New Roman" w:hAnsi="Times New Roman" w:eastAsia="Times New Roman"/>
                <w:b/>
                <w:sz w:val="16"/>
              </w:rPr>
              <w:t>SciER</w:t>
            </w:r>
          </w:p>
        </w:tc>
        <w:tc>
          <w:tcPr>
            <w:tcW w:type="dxa" w:w="1814"/>
          </w:tcPr>
          <w:p>
            <w:pPr>
              <w:spacing w:before="0" w:after="0"/>
            </w:pPr>
            <w:r>
              <w:rPr>
                <w:rFonts w:ascii="Times New Roman" w:hAnsi="Times New Roman" w:eastAsia="Times New Roman"/>
                <w:b/>
                <w:sz w:val="16"/>
              </w:rPr>
              <w:t>RuSERRC</w:t>
            </w:r>
          </w:p>
        </w:tc>
        <w:tc>
          <w:tcPr>
            <w:tcW w:type="dxa" w:w="1814"/>
          </w:tcPr>
          <w:p>
            <w:pPr>
              <w:spacing w:before="0" w:after="0"/>
            </w:pPr>
            <w:r>
              <w:rPr>
                <w:rFonts w:ascii="Times New Roman" w:hAnsi="Times New Roman" w:eastAsia="Times New Roman"/>
                <w:b/>
                <w:sz w:val="16"/>
              </w:rPr>
              <w:t>SciMDIX</w:t>
            </w:r>
          </w:p>
        </w:tc>
      </w:tr>
      <w:tr>
        <w:trPr>
          <w:cantSplit/>
        </w:trPr>
        <w:tc>
          <w:tcPr>
            <w:tcW w:type="dxa" w:w="1814"/>
          </w:tcPr>
          <w:p>
            <w:pPr>
              <w:spacing w:before="0" w:after="0"/>
            </w:pPr>
            <w:r>
              <w:rPr>
                <w:rFonts w:ascii="Times New Roman" w:hAnsi="Times New Roman" w:eastAsia="Times New Roman"/>
                <w:b w:val="0"/>
                <w:sz w:val="16"/>
              </w:rPr>
              <w:t>Задача</w:t>
            </w:r>
          </w:p>
        </w:tc>
        <w:tc>
          <w:tcPr>
            <w:tcW w:type="dxa" w:w="1814"/>
          </w:tcPr>
          <w:p>
            <w:pPr>
              <w:spacing w:before="0" w:after="0"/>
            </w:pPr>
            <w:r>
              <w:rPr>
                <w:rFonts w:ascii="Times New Roman" w:hAnsi="Times New Roman" w:eastAsia="Times New Roman"/>
                <w:b w:val="0"/>
                <w:sz w:val="16"/>
              </w:rPr>
              <w:t>task</w:t>
            </w:r>
          </w:p>
        </w:tc>
        <w:tc>
          <w:tcPr>
            <w:tcW w:type="dxa" w:w="1814"/>
          </w:tcPr>
          <w:p>
            <w:pPr>
              <w:spacing w:before="0" w:after="0"/>
            </w:pPr>
            <w:r>
              <w:rPr>
                <w:rFonts w:ascii="Times New Roman" w:hAnsi="Times New Roman" w:eastAsia="Times New Roman"/>
                <w:b w:val="0"/>
                <w:sz w:val="16"/>
              </w:rPr>
              <w:t>Task</w:t>
            </w:r>
          </w:p>
        </w:tc>
        <w:tc>
          <w:tcPr>
            <w:tcW w:type="dxa" w:w="1814"/>
          </w:tcPr>
          <w:p>
            <w:pPr>
              <w:spacing w:before="0" w:after="0"/>
            </w:pPr>
            <w:r>
              <w:rPr>
                <w:rFonts w:ascii="Times New Roman" w:hAnsi="Times New Roman" w:eastAsia="Times New Roman"/>
                <w:b w:val="0"/>
                <w:sz w:val="16"/>
              </w:rPr>
              <w:t>задача</w:t>
            </w:r>
          </w:p>
        </w:tc>
        <w:tc>
          <w:tcPr>
            <w:tcW w:type="dxa" w:w="1814"/>
          </w:tcPr>
          <w:p>
            <w:pPr>
              <w:spacing w:before="0" w:after="0"/>
            </w:pPr>
            <w:r>
              <w:rPr>
                <w:rFonts w:ascii="Times New Roman" w:hAnsi="Times New Roman" w:eastAsia="Times New Roman"/>
                <w:b w:val="0"/>
                <w:sz w:val="16"/>
              </w:rPr>
              <w:t>TASK</w:t>
            </w:r>
          </w:p>
        </w:tc>
      </w:tr>
      <w:tr>
        <w:trPr>
          <w:cantSplit/>
        </w:trPr>
        <w:tc>
          <w:tcPr>
            <w:tcW w:type="dxa" w:w="1814"/>
          </w:tcPr>
          <w:p>
            <w:pPr>
              <w:spacing w:before="0" w:after="0"/>
            </w:pPr>
            <w:r>
              <w:rPr>
                <w:rFonts w:ascii="Times New Roman" w:hAnsi="Times New Roman" w:eastAsia="Times New Roman"/>
                <w:b w:val="0"/>
                <w:sz w:val="16"/>
              </w:rPr>
              <w:t>Метод</w:t>
            </w:r>
          </w:p>
        </w:tc>
        <w:tc>
          <w:tcPr>
            <w:tcW w:type="dxa" w:w="1814"/>
          </w:tcPr>
          <w:p>
            <w:pPr>
              <w:spacing w:before="0" w:after="0"/>
            </w:pPr>
            <w:r>
              <w:rPr>
                <w:rFonts w:ascii="Times New Roman" w:hAnsi="Times New Roman" w:eastAsia="Times New Roman"/>
                <w:b w:val="0"/>
                <w:sz w:val="16"/>
              </w:rPr>
              <w:t>method</w:t>
            </w:r>
          </w:p>
        </w:tc>
        <w:tc>
          <w:tcPr>
            <w:tcW w:type="dxa" w:w="1814"/>
          </w:tcPr>
          <w:p>
            <w:pPr>
              <w:spacing w:before="0" w:after="0"/>
            </w:pPr>
            <w:r>
              <w:rPr>
                <w:rFonts w:ascii="Times New Roman" w:hAnsi="Times New Roman" w:eastAsia="Times New Roman"/>
                <w:b w:val="0"/>
                <w:sz w:val="16"/>
              </w:rPr>
              <w:t>Method</w:t>
            </w:r>
          </w:p>
        </w:tc>
        <w:tc>
          <w:tcPr>
            <w:tcW w:type="dxa" w:w="1814"/>
          </w:tcPr>
          <w:p>
            <w:pPr>
              <w:spacing w:before="0" w:after="0"/>
            </w:pPr>
            <w:r>
              <w:rPr>
                <w:rFonts w:ascii="Times New Roman" w:hAnsi="Times New Roman" w:eastAsia="Times New Roman"/>
                <w:b w:val="0"/>
                <w:sz w:val="16"/>
              </w:rPr>
              <w:t>метод</w:t>
            </w:r>
          </w:p>
        </w:tc>
        <w:tc>
          <w:tcPr>
            <w:tcW w:type="dxa" w:w="1814"/>
          </w:tcPr>
          <w:p>
            <w:pPr>
              <w:spacing w:before="0" w:after="0"/>
            </w:pPr>
            <w:r>
              <w:rPr>
                <w:rFonts w:ascii="Times New Roman" w:hAnsi="Times New Roman" w:eastAsia="Times New Roman"/>
                <w:b w:val="0"/>
                <w:sz w:val="16"/>
              </w:rPr>
              <w:t>METHOD</w:t>
            </w:r>
          </w:p>
        </w:tc>
      </w:tr>
      <w:tr>
        <w:trPr>
          <w:cantSplit/>
        </w:trPr>
        <w:tc>
          <w:tcPr>
            <w:tcW w:type="dxa" w:w="1814"/>
          </w:tcPr>
          <w:p>
            <w:pPr>
              <w:spacing w:before="0" w:after="0"/>
            </w:pPr>
            <w:r>
              <w:rPr>
                <w:rFonts w:ascii="Times New Roman" w:hAnsi="Times New Roman" w:eastAsia="Times New Roman"/>
                <w:b w:val="0"/>
                <w:sz w:val="16"/>
              </w:rPr>
              <w:t>Материал / набор данных</w:t>
            </w:r>
          </w:p>
        </w:tc>
        <w:tc>
          <w:tcPr>
            <w:tcW w:type="dxa" w:w="1814"/>
          </w:tcPr>
          <w:p>
            <w:pPr>
              <w:spacing w:before="0" w:after="0"/>
            </w:pPr>
            <w:r>
              <w:rPr>
                <w:rFonts w:ascii="Times New Roman" w:hAnsi="Times New Roman" w:eastAsia="Times New Roman"/>
                <w:b w:val="0"/>
                <w:sz w:val="16"/>
              </w:rPr>
              <w:t>material</w:t>
            </w:r>
          </w:p>
        </w:tc>
        <w:tc>
          <w:tcPr>
            <w:tcW w:type="dxa" w:w="1814"/>
          </w:tcPr>
          <w:p>
            <w:pPr>
              <w:spacing w:before="0" w:after="0"/>
            </w:pPr>
            <w:r>
              <w:rPr>
                <w:rFonts w:ascii="Times New Roman" w:hAnsi="Times New Roman" w:eastAsia="Times New Roman"/>
                <w:b w:val="0"/>
                <w:sz w:val="16"/>
              </w:rPr>
              <w:t>Dataset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MATERIAL</w:t>
            </w:r>
          </w:p>
        </w:tc>
      </w:tr>
      <w:tr>
        <w:trPr>
          <w:cantSplit/>
        </w:trPr>
        <w:tc>
          <w:tcPr>
            <w:tcW w:type="dxa" w:w="1814"/>
          </w:tcPr>
          <w:p>
            <w:pPr>
              <w:spacing w:before="0" w:after="0"/>
            </w:pPr>
            <w:r>
              <w:rPr>
                <w:rFonts w:ascii="Times New Roman" w:hAnsi="Times New Roman" w:eastAsia="Times New Roman"/>
                <w:b w:val="0"/>
                <w:sz w:val="16"/>
              </w:rPr>
              <w:t>Цель</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w:t>
            </w:r>
          </w:p>
        </w:tc>
        <w:tc>
          <w:tcPr>
            <w:tcW w:type="dxa" w:w="1814"/>
          </w:tcPr>
          <w:p>
            <w:pPr>
              <w:spacing w:before="0" w:after="0"/>
            </w:pPr>
            <w:r>
              <w:rPr>
                <w:rFonts w:ascii="Times New Roman" w:hAnsi="Times New Roman" w:eastAsia="Times New Roman"/>
                <w:b w:val="0"/>
                <w:sz w:val="16"/>
              </w:rPr>
              <w:t>цель</w:t>
            </w:r>
          </w:p>
        </w:tc>
        <w:tc>
          <w:tcPr>
            <w:tcW w:type="dxa" w:w="1814"/>
          </w:tcPr>
          <w:p>
            <w:pPr>
              <w:spacing w:before="0" w:after="0"/>
            </w:pPr>
            <w:r>
              <w:rPr>
                <w:rFonts w:ascii="Times New Roman" w:hAnsi="Times New Roman" w:eastAsia="Times New Roman"/>
                <w:b w:val="0"/>
                <w:sz w:val="16"/>
              </w:rPr>
              <w:t>AIM</w:t>
            </w:r>
          </w:p>
        </w:tc>
      </w:tr>
      <w:tr>
        <w:trPr>
          <w:cantSplit/>
        </w:trPr>
        <w:tc>
          <w:tcPr>
            <w:tcW w:type="dxa" w:w="1814"/>
          </w:tcPr>
          <w:p>
            <w:r>
              <w:rPr>
                <w:rFonts w:ascii="Times New Roman" w:hAnsi="Times New Roman"/>
                <w:b w:val="0"/>
                <w:sz w:val="16"/>
              </w:rPr>
              <w:t>Инструмент / применение</w:t>
            </w:r>
          </w:p>
        </w:tc>
        <w:tc>
          <w:tcPr>
            <w:tcW w:type="dxa" w:w="1814"/>
          </w:tcPr>
          <w:p>
            <w:r>
              <w:rPr>
                <w:rFonts w:ascii="Times New Roman" w:hAnsi="Times New Roman"/>
                <w:b w:val="0"/>
                <w:sz w:val="16"/>
              </w:rPr>
              <w:t>-</w:t>
            </w:r>
          </w:p>
        </w:tc>
        <w:tc>
          <w:tcPr>
            <w:tcW w:type="dxa" w:w="1814"/>
          </w:tcPr>
          <w:p>
            <w:r>
              <w:rPr>
                <w:rFonts w:ascii="Times New Roman" w:hAnsi="Times New Roman"/>
                <w:b w:val="0"/>
                <w:sz w:val="16"/>
              </w:rPr>
              <w:t>-</w:t>
            </w:r>
          </w:p>
        </w:tc>
        <w:tc>
          <w:tcPr>
            <w:tcW w:type="dxa" w:w="1814"/>
          </w:tcPr>
          <w:p>
            <w:r>
              <w:rPr>
                <w:rFonts w:ascii="Times New Roman" w:hAnsi="Times New Roman"/>
                <w:b w:val="0"/>
                <w:sz w:val="16"/>
              </w:rPr>
              <w:t>инструмент; применение</w:t>
            </w:r>
          </w:p>
        </w:tc>
        <w:tc>
          <w:tcPr>
            <w:tcW w:type="dxa" w:w="1814"/>
          </w:tcPr>
          <w:p>
            <w:r>
              <w:rPr>
                <w:rFonts w:ascii="Times New Roman" w:hAnsi="Times New Roman"/>
                <w:b w:val="0"/>
                <w:sz w:val="16"/>
              </w:rPr>
              <w:t>TOOL; USAGE</w:t>
            </w:r>
          </w:p>
        </w:tc>
      </w:tr>
      <w:tr>
        <w:trPr>
          <w:cantSplit/>
        </w:trPr>
        <w:tc>
          <w:tcPr>
            <w:tcW w:type="dxa" w:w="1814"/>
          </w:tcPr>
          <w:p>
            <w:r>
              <w:rPr>
                <w:rFonts w:ascii="Times New Roman" w:hAnsi="Times New Roman"/>
                <w:b w:val="0"/>
                <w:sz w:val="16"/>
              </w:rPr>
              <w:t>Результат / метрика / вклад</w:t>
            </w:r>
          </w:p>
        </w:tc>
        <w:tc>
          <w:tcPr>
            <w:tcW w:type="dxa" w:w="1814"/>
          </w:tcPr>
          <w:p>
            <w:r>
              <w:rPr>
                <w:rFonts w:ascii="Times New Roman" w:hAnsi="Times New Roman"/>
                <w:b w:val="0"/>
                <w:sz w:val="16"/>
              </w:rPr>
              <w:t>metric</w:t>
            </w:r>
          </w:p>
        </w:tc>
        <w:tc>
          <w:tcPr>
            <w:tcW w:type="dxa" w:w="1814"/>
          </w:tcPr>
          <w:p>
            <w:r>
              <w:rPr>
                <w:rFonts w:ascii="Times New Roman" w:hAnsi="Times New Roman"/>
                <w:b w:val="0"/>
                <w:sz w:val="16"/>
              </w:rPr>
              <w:t>-</w:t>
            </w:r>
          </w:p>
        </w:tc>
        <w:tc>
          <w:tcPr>
            <w:tcW w:type="dxa" w:w="1814"/>
          </w:tcPr>
          <w:p>
            <w:r>
              <w:rPr>
                <w:rFonts w:ascii="Times New Roman" w:hAnsi="Times New Roman"/>
                <w:b w:val="0"/>
                <w:sz w:val="16"/>
              </w:rPr>
              <w:t>вывод; научный вклад</w:t>
            </w:r>
          </w:p>
        </w:tc>
        <w:tc>
          <w:tcPr>
            <w:tcW w:type="dxa" w:w="1814"/>
          </w:tcPr>
          <w:p>
            <w:r>
              <w:rPr>
                <w:rFonts w:ascii="Times New Roman" w:hAnsi="Times New Roman"/>
                <w:b w:val="0"/>
                <w:sz w:val="16"/>
              </w:rPr>
              <w:t>RESULT</w:t>
            </w:r>
          </w:p>
        </w:tc>
      </w:tr>
    </w:tbl>
    <w:p>
      <w:pPr>
        <w:spacing w:line="240" w:lineRule="auto" w:after="0"/>
        <w:ind w:firstLine="709"/>
        <w:jc w:val="both"/>
      </w:pPr>
      <w:r>
        <w:rPr>
          <w:rFonts w:ascii="Times New Roman" w:hAnsi="Times New Roman" w:eastAsia="Times New Roman"/>
          <w:b w:val="0"/>
          <w:i w:val="0"/>
          <w:sz w:val="24"/>
        </w:rPr>
        <w:t>Критическим свойством такого преобразования является сохранение семантики меток. Фрагмент без целевой аннотации нельзя автоматически считать отрицательным: один ответ может подтверждаться несколькими участками документа [7, 8]. Семантическая близость также не эквивалентна возможности извлечь ответ [9]. Если эти случаи смешать, в обучающей выборке появляются противоречащие друг другу пары. В разработанном конвейере официальная аннотация, результат модели извлечения ответа и оценка семантической близости хранятся раздельно и объединяются только по явному правилу.</w:t>
      </w:r>
    </w:p>
    <w:p>
      <w:pPr>
        <w:spacing w:line="240" w:lineRule="auto" w:after="0"/>
        <w:ind w:firstLine="709"/>
        <w:jc w:val="both"/>
      </w:pPr>
      <w:r>
        <w:rPr>
          <w:rFonts w:ascii="Times New Roman" w:hAnsi="Times New Roman" w:eastAsia="Times New Roman"/>
          <w:b w:val="0"/>
          <w:i w:val="0"/>
          <w:sz w:val="24"/>
        </w:rPr>
        <w:t>Дополнительную неопределённость создаёт модель извлечения ответа. Значения её уверенности, полученные на разных фрагментах, могут быть несопоставимы; эта проблема известна для многофрагментных архитектур [10]. Следовательно, ответоспособность экземпляра определяется не только корпусом. Она зависит от формулировки вопроса, параметров сегментации и конкретной модели. Для повторяемого вычислительного эксперимента необходимо фиксировать всю цепочку преобразований, включая причины исключения экземпляра и версию каждого программного компонента.</w:t>
      </w:r>
    </w:p>
    <w:p>
      <w:pPr>
        <w:spacing w:line="240" w:lineRule="auto" w:after="0"/>
        <w:ind w:firstLine="709"/>
        <w:jc w:val="both"/>
      </w:pPr>
      <w:r>
        <w:rPr>
          <w:rFonts w:ascii="Times New Roman" w:hAnsi="Times New Roman" w:eastAsia="Times New Roman"/>
          <w:b w:val="0"/>
          <w:i w:val="0"/>
          <w:sz w:val="24"/>
        </w:rPr>
        <w:t>Объект исследования представляет собой программный процесс формирования и проверки данных для многоступенчатой системы вопросно-ориентированного поиска фрагментов. Предмет исследования составляют модели данных, алгоритмы преобразования и программные средства контроля их корректности. Цель работы заключается в разработке воспроизводимого конвейера, приводящего разнородные многоязычные корпуса к единому экспериментальному представлению. Для достижения цели решаются задачи нормализации исходной разметки, детерминированной сегментации, построения классов кандидатов, защиты от межвыборочной утечки и сравнительной проверки алгоритмов на фиксированных тестовых частях. Подробное описание разработки методов H2 и H3, их признаков, правил безопасного переключения и абляционных экспериментов приведено в отдельной методической статье автора [15]; здесь эти методы рассматриваются как фиксированные средства проверки подготовленных данных.</w:t>
      </w:r>
    </w:p>
    <w:p>
      <w:pPr>
        <w:keepNext/>
        <w:spacing w:line="240" w:lineRule="auto" w:after="120" w:before="240"/>
        <w:jc w:val="center"/>
      </w:pPr>
      <w:r>
        <w:rPr>
          <w:rFonts w:ascii="Times New Roman" w:hAnsi="Times New Roman" w:eastAsia="Times New Roman"/>
          <w:b/>
          <w:i w:val="0"/>
          <w:sz w:val="24"/>
        </w:rPr>
        <w:t>Материалы и методы</w:t>
      </w:r>
    </w:p>
    <w:p>
      <w:pPr>
        <w:keepNext/>
        <w:spacing w:line="240" w:lineRule="auto" w:after="0" w:before="120"/>
        <w:jc w:val="left"/>
      </w:pPr>
      <w:r>
        <w:rPr>
          <w:rFonts w:ascii="Times New Roman" w:hAnsi="Times New Roman" w:eastAsia="Times New Roman"/>
          <w:b/>
          <w:i w:val="0"/>
          <w:sz w:val="24"/>
        </w:rPr>
        <w:t>Подготовка исходных данных и формирование обучающих классов</w:t>
      </w:r>
    </w:p>
    <w:p>
      <w:pPr>
        <w:spacing w:line="240" w:lineRule="auto" w:after="0"/>
        <w:ind w:firstLine="709"/>
        <w:jc w:val="both"/>
      </w:pPr>
      <w:r>
        <w:rPr>
          <w:rFonts w:ascii="Times New Roman" w:hAnsi="Times New Roman" w:eastAsia="Times New Roman"/>
          <w:b w:val="0"/>
          <w:i w:val="0"/>
          <w:sz w:val="24"/>
        </w:rPr>
        <w:t>Подготовка начиналась с неизменяемого слоя источников. Для каждого файла фиксировались репозиторий, версия и SHA-256, поскольку даже небольшое обновление корпуса способно изменить координаты аннотаций и состав фрагментов. Текст нормализовался с одновременным пересчётом символьных и токенных позиций. Затем документ детерминированно делился на перекрывающиеся фрагменты; каждый фрагмент сохранял идентификатор документа, порядковый номер и диапазоны координат. Официальное упоминание считалось принадлежащим фрагменту только при полном включении его интервала. Такой критерий исключает ложное подтверждение, возникающее при пересечении спана с границей фрагмента.</w:t>
      </w:r>
    </w:p>
    <w:p>
      <w:pPr>
        <w:keepNext/>
        <w:spacing w:line="240" w:lineRule="auto" w:after="0" w:before="120"/>
        <w:jc w:val="left"/>
      </w:pPr>
      <w:r>
        <w:rPr>
          <w:rFonts w:ascii="Times New Roman" w:hAnsi="Times New Roman" w:eastAsia="Times New Roman"/>
          <w:b/>
          <w:sz w:val="24"/>
        </w:rPr>
        <w:t>Алгоритм выделения положительных и отрицательных примеров</w:t>
      </w:r>
    </w:p>
    <w:p>
      <w:pPr>
        <w:spacing w:line="240" w:lineRule="auto" w:after="0"/>
        <w:ind w:firstLine="709"/>
        <w:jc w:val="both"/>
      </w:pPr>
      <w:r>
        <w:rPr>
          <w:rFonts w:ascii="Times New Roman" w:hAnsi="Times New Roman" w:eastAsia="Times New Roman"/>
          <w:b w:val="0"/>
          <w:i w:val="0"/>
          <w:sz w:val="24"/>
        </w:rPr>
        <w:t>Единицей разметки служила пара «документ - аспект». Для неё формировался вопрос и множество фрагментов одного документа. Из официальных аннотаций извлекались все допустимые строковые ответы и все фрагменты, полностью содержащие соответствующий спан. Для каждого аспекта сохранялись пять формулировок вопроса, однако выбор формулировки выполнялся только внутри обучающей части. Это ограничение необходимо, поскольку вопрос влияет одновременно на BM25, ответ модели извлечения ответа и окончательную метку фрагмента.</w:t>
      </w:r>
    </w:p>
    <w:p>
      <w:pPr>
        <w:spacing w:line="240" w:lineRule="auto" w:after="0"/>
        <w:ind w:firstLine="709"/>
        <w:jc w:val="both"/>
      </w:pPr>
      <w:r>
        <w:rPr>
          <w:rFonts w:ascii="Times New Roman" w:hAnsi="Times New Roman" w:eastAsia="Times New Roman"/>
          <w:b w:val="0"/>
          <w:i w:val="0"/>
          <w:sz w:val="24"/>
        </w:rPr>
        <w:t>Положительные примеры определялись замороженной моделью извлечения ответа. Модель извлечения ответа запускалась на каждом доступном фрагменте. Предсказание нормализовалось функцией «identity_key» и сопоставлялось со всеми эталонными ответами. Фрагмент получал класс «qa_positive» или «robust_positive», если эталонная последовательность входила в предсказание как непрерывная последовательность токенов и число лишних токенов не превышало пяти; точное совпадение являлось частным случаем. Проверка моделью извлечения ответа введена для согласования разметки с фактической задачей извлечения ответа. Она также позволяла обнаружить дополнительный положительный контекст без официального спана. Если официальный спан присутствовал, но модель извлечения ответа не воспроизводила ответ, назначался класс «evidence_positive_qa_failed». Такой фрагмент не использовался как отрицательный.</w:t>
      </w:r>
    </w:p>
    <w:p>
      <w:pPr>
        <w:spacing w:line="240" w:lineRule="auto" w:after="0"/>
        <w:ind w:firstLine="709"/>
        <w:jc w:val="both"/>
      </w:pPr>
      <w:r>
        <w:rPr>
          <w:rFonts w:ascii="Times New Roman" w:hAnsi="Times New Roman" w:eastAsia="Times New Roman"/>
          <w:b w:val="0"/>
          <w:i w:val="0"/>
          <w:sz w:val="24"/>
        </w:rPr>
        <w:t>Отрицательный пул включал только фрагменты, у которых отсутствовали и согласованный ответ модели извлечения ответа, и официальный подтверждающий спан. Сначала BM25 ранжировал этот пул по близости к вопросу и выбирал не более пяти кандидатов. Прямо использовать их как сложные отрицательные нельзя: тематически близкий фрагмент может содержать неразмеченное альтернативное подтверждение. Поэтому векторные представления положительных фрагментов и BM25-кандидатов объединялись и кластеризовались; число кластеров выбиралось статистикой разрыва (gap statistic). Кандидат из одного кластера с положительным фрагментом получал класс «false_negative_candidate» и исключался из отрицательного обучения. Оставшиеся кандидаты из первой пятёрки становились «hard_negative», а прочие фрагменты без подтверждения относились к «easy_negative».</w:t>
      </w:r>
    </w:p>
    <w:p>
      <w:pPr>
        <w:spacing w:line="240" w:lineRule="auto" w:after="0"/>
        <w:ind w:firstLine="709"/>
        <w:jc w:val="both"/>
      </w:pPr>
      <w:r>
        <w:rPr>
          <w:rFonts w:ascii="Times New Roman" w:hAnsi="Times New Roman" w:eastAsia="Times New Roman"/>
          <w:sz w:val="24"/>
        </w:rPr>
        <w:t>В градиентное обучение передавались только подтверждённые положительные, сложные отрицательные и простые отрицательные пары. Классы «evidence_positive_qa_failed», «false_negative_candidate» и унаследованный «question_sensitive» образовывали карантин неоднозначных примеров. Если для вопроса не находилось ни одного положительного фрагмента, вопрос целиком исключался из обучающей выборки. При этом он оставался в файле «all_phase1_instances.jsonl» вместе с причиной исключения; файл «dataset.jsonl» содержал только ответоспособные экземпляры. Такое разделение позволяет заменить модель извлечения ответа или вопросы без повторного восстановления исходного корпуса.</w:t>
      </w:r>
    </w:p>
    <w:p>
      <w:pPr>
        <w:spacing w:line="240" w:lineRule="auto" w:after="0"/>
        <w:ind w:firstLine="709"/>
        <w:jc w:val="both"/>
      </w:pPr>
      <w:r>
        <w:rPr>
          <w:rFonts w:ascii="Times New Roman" w:hAnsi="Times New Roman" w:eastAsia="Times New Roman"/>
          <w:sz w:val="24"/>
        </w:rPr>
        <w:t>После присвоения классов выполнялись машинные проверки: уникальность идентификаторов вопросов, точное воспроизведение текста каждого эталонного спана, отсутствие официального спана у «hard_negative» и «easy_negative», наличие хотя бы одного положительного фрагмента в каждом обучающем вопросе и непересечение документов между частями. Перекрёстная проверка строилась по документам, а не по отдельным вопросам или фрагментам, поскольку фрагменты одной статьи имеют общую лексику и способны создавать скрытую утечку.</w:t>
      </w:r>
    </w:p>
    <w:p>
      <w:pPr>
        <w:keepNext/>
        <w:spacing w:line="240" w:lineRule="auto" w:after="0" w:before="240"/>
        <w:jc w:val="both"/>
      </w:pPr>
      <w:r>
        <w:rPr>
          <w:rFonts w:ascii="Times New Roman" w:hAnsi="Times New Roman" w:eastAsia="Times New Roman"/>
          <w:b w:val="0"/>
          <w:i w:val="0"/>
          <w:sz w:val="24"/>
        </w:rPr>
        <w:t>Таблица 2 - Характеристики входных корпусов и параметры сегментации</w:t>
      </w:r>
    </w:p>
    <w:p>
      <w:pPr>
        <w:keepNext/>
        <w:spacing w:line="240" w:lineRule="auto" w:after="120"/>
        <w:jc w:val="both"/>
      </w:pPr>
      <w:r>
        <w:rPr>
          <w:rFonts w:ascii="Times New Roman" w:hAnsi="Times New Roman" w:eastAsia="Times New Roman"/>
          <w:b w:val="0"/>
          <w:i w:val="0"/>
          <w:sz w:val="24"/>
          <w:lang w:val="en-US"/>
        </w:rPr>
        <w:t>Table 2 - Input-corpus characteristics and segmentation parameters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cantSplit/>
        </w:trPr>
        <w:tc>
          <w:tcPr>
            <w:tcW w:type="dxa" w:w="113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Конфигурация</w:t>
            </w:r>
          </w:p>
        </w:tc>
        <w:tc>
          <w:tcPr>
            <w:tcW w:type="dxa" w:w="175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Язык и тип документа</w:t>
            </w:r>
          </w:p>
        </w:tc>
        <w:tc>
          <w:tcPr>
            <w:tcW w:type="dxa" w:w="1417"/>
            <w:vAlign w:val="center"/>
            <w:shd w:fill="D9EAF7"/>
            <w:tcMar>
              <w:top w:w="60" w:type="dxa"/>
              <w:start w:w="80" w:type="dxa"/>
              <w:bottom w:w="60" w:type="dxa"/>
              <w:end w:w="80" w:type="dxa"/>
            </w:tcMar>
          </w:tcPr>
          <w:p>
            <w:r>
              <w:t>Протокол разбиения</w:t>
            </w:r>
          </w:p>
        </w:tc>
        <w:tc>
          <w:tcPr>
            <w:tcW w:type="dxa" w:w="175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Аспекты</w:t>
            </w:r>
          </w:p>
        </w:tc>
        <w:tc>
          <w:tcPr>
            <w:tcW w:type="dxa" w:w="1701"/>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Разбиение на фрагменты</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SciREX</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научные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метод, задача, метрика, материал</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английская схема, до 384 токенов</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SciER-384</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полные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80/10/10/6: train/dev/test/OOD-test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384 токена, перекрытие 50</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SciER-128</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английский, те же статьи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те же official части; отдельная сегментация</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перекрытие 24</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RuSERRC</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русский, научно-технические тексты</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test отсутствует; фиксированный holdout</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9 аспектов</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языково-специфичная сегментация</w:t>
            </w:r>
          </w:p>
        </w:tc>
      </w:tr>
      <w:tr>
        <w:trPr>
          <w:cantSplit/>
        </w:trPr>
        <w:tc>
          <w:tcPr>
            <w:tcW w:type="dxa" w:w="1134"/>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SciMDIX</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русский, научные аннотации</w:t>
            </w:r>
          </w:p>
        </w:tc>
        <w:tc>
          <w:tcPr>
            <w:tcW w:type="dxa" w:w="1417"/>
            <w:vAlign w:val="center"/>
            <w:tcMar>
              <w:top w:w="60" w:type="dxa"/>
              <w:start w:w="80" w:type="dxa"/>
              <w:bottom w:w="60" w:type="dxa"/>
              <w:end w:w="80" w:type="dxa"/>
            </w:tcMar>
          </w:tcPr>
          <w:p>
            <w:pPr>
              <w:spacing w:before="0" w:after="0"/>
            </w:pPr>
            <w:r>
              <w:rPr>
                <w:rFonts w:ascii="Times New Roman" w:hAnsi="Times New Roman" w:eastAsia="Times New Roman"/>
                <w:sz w:val="17"/>
              </w:rPr>
              <w:t>official train/test; internal validation из train</w:t>
            </w:r>
          </w:p>
        </w:tc>
        <w:tc>
          <w:tcPr>
            <w:tcW w:type="dxa" w:w="175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7 аспектов</w:t>
            </w:r>
          </w:p>
        </w:tc>
        <w:tc>
          <w:tcPr>
            <w:tcW w:type="dxa" w:w="1701"/>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128 токенов, перекрытие 24</w:t>
            </w:r>
          </w:p>
        </w:tc>
      </w:tr>
    </w:tbl>
    <w:p>
      <w:pPr>
        <w:spacing w:line="240" w:lineRule="auto" w:after="0"/>
        <w:ind w:firstLine="709"/>
        <w:jc w:val="both"/>
      </w:pPr>
      <w:r>
        <w:rPr>
          <w:rFonts w:ascii="Times New Roman" w:hAnsi="Times New Roman" w:eastAsia="Times New Roman"/>
          <w:b w:val="0"/>
          <w:i w:val="0"/>
          <w:sz w:val="24"/>
        </w:rPr>
        <w:t>При обработке SciREX рассматривались аспекты «метод», «задача», «метрика» и «материал». Исторически подготовленный набор содержал 180 обучающих документов и 477 вопросов; у 303 вопросов имелся подтверждённый положительный фрагмент. Калибровочная и разработочная части включали по 44 документа. Для итогового вычислительного эксперимента официальное разбиение было сформировано заново. Его тестовая часть до фильтрации содержала 264 вопроса по 66 документам.</w:t>
      </w:r>
    </w:p>
    <w:p>
      <w:pPr>
        <w:spacing w:line="240" w:lineRule="auto" w:after="0"/>
        <w:ind w:firstLine="709"/>
        <w:jc w:val="both"/>
      </w:pPr>
      <w:r>
        <w:rPr>
          <w:rFonts w:ascii="Times New Roman" w:hAnsi="Times New Roman" w:eastAsia="Times New Roman"/>
          <w:b w:val="0"/>
          <w:i w:val="0"/>
          <w:sz w:val="24"/>
        </w:rPr>
        <w:t>Локальная копия RuSERRC включала 591 документ; в 587 документах присутствовал хотя бы один из девяти аспектов: задача, цель, научный вклад, метод, инструмент, применение, преимущество, пример и вывод. Встроенные маркеры удалялись с одновременным пересчётом символьных координат. Сформировано 1979 общих фрагментов и 5319 аспектных экземпляров, из которых 1994 удовлетворяли исходным критериям включения. Для русского текста применялись отдельные модели сегментации предложений и извлечения ответа. Каждому аспекту соответствовало пять формулировок вопроса.</w:t>
      </w:r>
    </w:p>
    <w:p>
      <w:pPr>
        <w:spacing w:line="240" w:lineRule="auto" w:after="0"/>
        <w:ind w:firstLine="709"/>
        <w:jc w:val="both"/>
      </w:pPr>
      <w:r>
        <w:rPr>
          <w:rFonts w:ascii="Times New Roman" w:hAnsi="Times New Roman" w:eastAsia="Times New Roman"/>
          <w:b w:val="0"/>
          <w:i w:val="0"/>
          <w:sz w:val="24"/>
        </w:rPr>
        <w:t>Для SciMDIX обрабатывалась русская часть версии 69170fbdd15a4e19e247a9eb9554356d018b6f57 репозитория tvbat/SciMDIX. Исходные метки AIM, MATERIAL, METHOD, RESULT, TASK, TOOL и USAGE были однозначно сопоставлены с целью, материалом, методом, результатом, задачей, инструментом и применением. Объединение классов не выполнялось. Наряду с аспектами сохранены 6693 упоминания сущностей и 2376 отношений. В корпусе находятся 186 обучающих и 20 тестовых аннотаций по информатике, лингвистике, медицине и психологии.</w:t>
      </w:r>
    </w:p>
    <w:p>
      <w:pPr>
        <w:spacing w:line="240" w:lineRule="auto" w:after="0"/>
        <w:ind w:firstLine="709"/>
        <w:jc w:val="both"/>
      </w:pPr>
      <w:r>
        <w:rPr>
          <w:rFonts w:ascii="Times New Roman" w:hAnsi="Times New Roman" w:eastAsia="Times New Roman"/>
          <w:b w:val="0"/>
          <w:i w:val="0"/>
          <w:sz w:val="24"/>
        </w:rPr>
        <w:t>Для SciER использовалась версия db347813de379eb200e0813bbfee350d67e7c701 исходного репозитория. Выбран формат для предварительно обученных языковых моделей, поскольку в нём сохранены токены документа, официальные границы предложений, интервалы сущностей и отношения. Типы Dataset, Method и Task сопоставлены с материалом, методом и задачей. Официальное разбиение включает 80 обучающих, 10 проверочных, 10 тестовых и 6 внераспределительных тестовых статей.</w:t>
      </w:r>
    </w:p>
    <w:p>
      <w:pPr>
        <w:spacing w:line="240" w:lineRule="auto" w:after="0"/>
        <w:ind w:firstLine="709"/>
        <w:jc w:val="both"/>
      </w:pPr>
      <w:r>
        <w:rPr>
          <w:rFonts w:ascii="Times New Roman" w:hAnsi="Times New Roman" w:eastAsia="Times New Roman"/>
          <w:b w:val="0"/>
          <w:i w:val="0"/>
          <w:sz w:val="24"/>
        </w:rPr>
        <w:t>Для SciER независимо построены две конфигурации: 128 токенов с перекрытием 24 токена и 384 токена с перекрытием 50 токенов. Первая увеличивает разрешение локализации, вторая соответствует схеме, принятой для SciREX. Разметка кандидатов вычислялась заново для каждой конфигурации; перенос готовых меток между ними запрещался. Контроль точных границ подтвердил, что различие числа ответоспособных экземпляров связано с параметрами сегментации, а не с потерей официальных упоминаний.</w:t>
      </w:r>
    </w:p>
    <w:p>
      <w:pPr>
        <w:keepNext/>
        <w:spacing w:line="240" w:lineRule="auto" w:after="0" w:before="240"/>
        <w:jc w:val="both"/>
      </w:pPr>
      <w:r>
        <w:rPr>
          <w:rFonts w:ascii="Times New Roman" w:hAnsi="Times New Roman" w:eastAsia="Times New Roman"/>
          <w:b w:val="0"/>
          <w:i w:val="0"/>
          <w:sz w:val="24"/>
        </w:rPr>
        <w:t>Таблица 3 - Объём вопросов и пар после фильтра ответоспособности</w:t>
      </w:r>
    </w:p>
    <w:p>
      <w:pPr>
        <w:keepNext/>
        <w:spacing w:line="240" w:lineRule="auto" w:after="120"/>
        <w:jc w:val="both"/>
      </w:pPr>
      <w:r>
        <w:rPr>
          <w:rFonts w:ascii="Times New Roman" w:hAnsi="Times New Roman" w:eastAsia="Times New Roman"/>
          <w:b w:val="0"/>
          <w:i w:val="0"/>
          <w:sz w:val="24"/>
          <w:lang w:val="en-US"/>
        </w:rPr>
        <w:t>Table 3 - Question and pair counts after answerability filtering</w:t>
      </w:r>
    </w:p>
    <w:tbl>
      <w:tblPr>
        <w:tblW w:type="auto" w:w="0"/>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Pr>
          <w:p>
            <w:pPr>
              <w:spacing w:before="0" w:after="0"/>
            </w:pPr>
            <w:r>
              <w:rPr>
                <w:rFonts w:ascii="Times New Roman" w:hAnsi="Times New Roman" w:eastAsia="Times New Roman"/>
                <w:b/>
                <w:sz w:val="16"/>
              </w:rPr>
              <w:t>Набор</w:t>
            </w:r>
          </w:p>
        </w:tc>
        <w:tc>
          <w:tcPr>
            <w:tcW w:type="dxa" w:w="1512"/>
          </w:tcPr>
          <w:p>
            <w:pPr>
              <w:spacing w:before="0" w:after="0"/>
            </w:pPr>
            <w:r>
              <w:rPr>
                <w:rFonts w:ascii="Times New Roman" w:hAnsi="Times New Roman" w:eastAsia="Times New Roman"/>
                <w:b/>
                <w:sz w:val="16"/>
              </w:rPr>
              <w:t>Исходные вопросы</w:t>
            </w:r>
          </w:p>
        </w:tc>
        <w:tc>
          <w:tcPr>
            <w:tcW w:type="dxa" w:w="1512"/>
          </w:tcPr>
          <w:p>
            <w:pPr>
              <w:spacing w:before="0" w:after="0"/>
            </w:pPr>
            <w:r>
              <w:rPr>
                <w:rFonts w:ascii="Times New Roman" w:hAnsi="Times New Roman" w:eastAsia="Times New Roman"/>
                <w:b/>
                <w:sz w:val="16"/>
              </w:rPr>
              <w:t>В обучении</w:t>
            </w:r>
          </w:p>
        </w:tc>
        <w:tc>
          <w:tcPr>
            <w:tcW w:type="dxa" w:w="1512"/>
          </w:tcPr>
          <w:p>
            <w:pPr>
              <w:spacing w:before="0" w:after="0"/>
            </w:pPr>
            <w:r>
              <w:rPr>
                <w:rFonts w:ascii="Times New Roman" w:hAnsi="Times New Roman" w:eastAsia="Times New Roman"/>
                <w:b/>
                <w:sz w:val="16"/>
              </w:rPr>
              <w:t>Доля, %</w:t>
            </w:r>
          </w:p>
        </w:tc>
        <w:tc>
          <w:tcPr>
            <w:tcW w:type="dxa" w:w="1512"/>
          </w:tcPr>
          <w:p>
            <w:pPr>
              <w:spacing w:before="0" w:after="0"/>
            </w:pPr>
            <w:r>
              <w:rPr>
                <w:rFonts w:ascii="Times New Roman" w:hAnsi="Times New Roman" w:eastAsia="Times New Roman"/>
                <w:b/>
                <w:sz w:val="16"/>
              </w:rPr>
              <w:t>Документы</w:t>
            </w:r>
          </w:p>
        </w:tc>
        <w:tc>
          <w:tcPr>
            <w:tcW w:type="dxa" w:w="1512"/>
          </w:tcPr>
          <w:p>
            <w:pPr>
              <w:spacing w:before="0" w:after="0"/>
            </w:pPr>
            <w:r>
              <w:rPr>
                <w:rFonts w:ascii="Times New Roman" w:hAnsi="Times New Roman" w:eastAsia="Times New Roman"/>
                <w:b/>
                <w:sz w:val="16"/>
              </w:rPr>
              <w:t>Пар вопрос-фрагмент</w:t>
            </w:r>
          </w:p>
        </w:tc>
      </w:tr>
      <w:tr>
        <w:trPr>
          <w:cantSplit/>
        </w:trPr>
        <w:tc>
          <w:tcPr>
            <w:tcW w:type="dxa" w:w="1512"/>
          </w:tcPr>
          <w:p>
            <w:pPr>
              <w:spacing w:before="0" w:after="0"/>
            </w:pPr>
            <w:r>
              <w:rPr>
                <w:rFonts w:ascii="Times New Roman" w:hAnsi="Times New Roman" w:eastAsia="Times New Roman"/>
                <w:b w:val="0"/>
                <w:sz w:val="16"/>
              </w:rPr>
              <w:t>SciREX</w:t>
            </w:r>
          </w:p>
        </w:tc>
        <w:tc>
          <w:tcPr>
            <w:tcW w:type="dxa" w:w="1512"/>
          </w:tcPr>
          <w:p>
            <w:pPr>
              <w:spacing w:before="0" w:after="0"/>
            </w:pPr>
            <w:r>
              <w:rPr>
                <w:rFonts w:ascii="Times New Roman" w:hAnsi="Times New Roman" w:eastAsia="Times New Roman"/>
                <w:b w:val="0"/>
                <w:sz w:val="16"/>
              </w:rPr>
              <w:t>955</w:t>
            </w:r>
          </w:p>
        </w:tc>
        <w:tc>
          <w:tcPr>
            <w:tcW w:type="dxa" w:w="1512"/>
          </w:tcPr>
          <w:p>
            <w:pPr>
              <w:spacing w:before="0" w:after="0"/>
            </w:pPr>
            <w:r>
              <w:rPr>
                <w:rFonts w:ascii="Times New Roman" w:hAnsi="Times New Roman" w:eastAsia="Times New Roman"/>
                <w:b w:val="0"/>
                <w:sz w:val="16"/>
              </w:rPr>
              <w:t>612</w:t>
            </w:r>
          </w:p>
        </w:tc>
        <w:tc>
          <w:tcPr>
            <w:tcW w:type="dxa" w:w="1512"/>
          </w:tcPr>
          <w:p>
            <w:pPr>
              <w:spacing w:before="0" w:after="0"/>
            </w:pPr>
            <w:r>
              <w:rPr>
                <w:rFonts w:ascii="Times New Roman" w:hAnsi="Times New Roman" w:eastAsia="Times New Roman"/>
                <w:b w:val="0"/>
                <w:sz w:val="16"/>
              </w:rPr>
              <w:t>64,1</w:t>
            </w:r>
          </w:p>
        </w:tc>
        <w:tc>
          <w:tcPr>
            <w:tcW w:type="dxa" w:w="1512"/>
          </w:tcPr>
          <w:p>
            <w:pPr>
              <w:spacing w:before="0" w:after="0"/>
            </w:pPr>
            <w:r>
              <w:rPr>
                <w:rFonts w:ascii="Times New Roman" w:hAnsi="Times New Roman" w:eastAsia="Times New Roman"/>
                <w:b w:val="0"/>
                <w:sz w:val="16"/>
              </w:rPr>
              <w:t>324</w:t>
            </w:r>
          </w:p>
        </w:tc>
        <w:tc>
          <w:tcPr>
            <w:tcW w:type="dxa" w:w="1512"/>
          </w:tcPr>
          <w:p>
            <w:pPr>
              <w:spacing w:before="0" w:after="0"/>
            </w:pPr>
            <w:r>
              <w:rPr>
                <w:rFonts w:ascii="Times New Roman" w:hAnsi="Times New Roman" w:eastAsia="Times New Roman"/>
                <w:b w:val="0"/>
                <w:sz w:val="16"/>
              </w:rPr>
              <w:t>12 062</w:t>
            </w:r>
          </w:p>
        </w:tc>
      </w:tr>
      <w:tr>
        <w:trPr>
          <w:cantSplit/>
        </w:trPr>
        <w:tc>
          <w:tcPr>
            <w:tcW w:type="dxa" w:w="1512"/>
          </w:tcPr>
          <w:p>
            <w:pPr>
              <w:spacing w:before="0" w:after="0"/>
            </w:pPr>
            <w:r>
              <w:rPr>
                <w:rFonts w:ascii="Times New Roman" w:hAnsi="Times New Roman" w:eastAsia="Times New Roman"/>
                <w:b w:val="0"/>
                <w:sz w:val="16"/>
              </w:rPr>
              <w:t>SciER-384</w:t>
            </w:r>
          </w:p>
        </w:tc>
        <w:tc>
          <w:tcPr>
            <w:tcW w:type="dxa" w:w="1512"/>
          </w:tcPr>
          <w:p>
            <w:pPr>
              <w:spacing w:before="0" w:after="0"/>
            </w:pPr>
            <w:r>
              <w:rPr>
                <w:rFonts w:ascii="Times New Roman" w:hAnsi="Times New Roman" w:eastAsia="Times New Roman"/>
                <w:b w:val="0"/>
                <w:sz w:val="16"/>
              </w:rPr>
              <w:t>268</w:t>
            </w:r>
          </w:p>
        </w:tc>
        <w:tc>
          <w:tcPr>
            <w:tcW w:type="dxa" w:w="1512"/>
          </w:tcPr>
          <w:p>
            <w:pPr>
              <w:spacing w:before="0" w:after="0"/>
            </w:pPr>
            <w:r>
              <w:rPr>
                <w:rFonts w:ascii="Times New Roman" w:hAnsi="Times New Roman" w:eastAsia="Times New Roman"/>
                <w:b w:val="0"/>
                <w:sz w:val="16"/>
              </w:rPr>
              <w:t>250</w:t>
            </w:r>
          </w:p>
        </w:tc>
        <w:tc>
          <w:tcPr>
            <w:tcW w:type="dxa" w:w="1512"/>
          </w:tcPr>
          <w:p>
            <w:pPr>
              <w:spacing w:before="0" w:after="0"/>
            </w:pPr>
            <w:r>
              <w:rPr>
                <w:rFonts w:ascii="Times New Roman" w:hAnsi="Times New Roman" w:eastAsia="Times New Roman"/>
                <w:b w:val="0"/>
                <w:sz w:val="16"/>
              </w:rPr>
              <w:t>93,3</w:t>
            </w:r>
          </w:p>
        </w:tc>
        <w:tc>
          <w:tcPr>
            <w:tcW w:type="dxa" w:w="1512"/>
          </w:tcPr>
          <w:p>
            <w:pPr>
              <w:spacing w:before="0" w:after="0"/>
            </w:pPr>
            <w:r>
              <w:rPr>
                <w:rFonts w:ascii="Times New Roman" w:hAnsi="Times New Roman" w:eastAsia="Times New Roman"/>
                <w:b w:val="0"/>
                <w:sz w:val="16"/>
              </w:rPr>
              <w:t>90</w:t>
            </w:r>
          </w:p>
        </w:tc>
        <w:tc>
          <w:tcPr>
            <w:tcW w:type="dxa" w:w="1512"/>
          </w:tcPr>
          <w:p>
            <w:pPr>
              <w:spacing w:before="0" w:after="0"/>
            </w:pPr>
            <w:r>
              <w:rPr>
                <w:rFonts w:ascii="Times New Roman" w:hAnsi="Times New Roman" w:eastAsia="Times New Roman"/>
                <w:b w:val="0"/>
                <w:sz w:val="16"/>
              </w:rPr>
              <w:t>2 524</w:t>
            </w:r>
          </w:p>
        </w:tc>
      </w:tr>
      <w:tr>
        <w:trPr>
          <w:cantSplit/>
        </w:trPr>
        <w:tc>
          <w:tcPr>
            <w:tcW w:type="dxa" w:w="1512"/>
          </w:tcPr>
          <w:p>
            <w:pPr>
              <w:spacing w:before="0" w:after="0"/>
            </w:pPr>
            <w:r>
              <w:rPr>
                <w:rFonts w:ascii="Times New Roman" w:hAnsi="Times New Roman" w:eastAsia="Times New Roman"/>
                <w:b w:val="0"/>
                <w:sz w:val="16"/>
              </w:rPr>
              <w:t>SciER-128</w:t>
            </w:r>
          </w:p>
        </w:tc>
        <w:tc>
          <w:tcPr>
            <w:tcW w:type="dxa" w:w="1512"/>
          </w:tcPr>
          <w:p>
            <w:pPr>
              <w:spacing w:before="0" w:after="0"/>
            </w:pPr>
            <w:r>
              <w:rPr>
                <w:rFonts w:ascii="Times New Roman" w:hAnsi="Times New Roman" w:eastAsia="Times New Roman"/>
                <w:b w:val="0"/>
                <w:sz w:val="16"/>
              </w:rPr>
              <w:t>268</w:t>
            </w:r>
          </w:p>
        </w:tc>
        <w:tc>
          <w:tcPr>
            <w:tcW w:type="dxa" w:w="1512"/>
          </w:tcPr>
          <w:p>
            <w:pPr>
              <w:spacing w:before="0" w:after="0"/>
            </w:pPr>
            <w:r>
              <w:rPr>
                <w:rFonts w:ascii="Times New Roman" w:hAnsi="Times New Roman" w:eastAsia="Times New Roman"/>
                <w:b w:val="0"/>
                <w:sz w:val="16"/>
              </w:rPr>
              <w:t>264</w:t>
            </w:r>
          </w:p>
        </w:tc>
        <w:tc>
          <w:tcPr>
            <w:tcW w:type="dxa" w:w="1512"/>
          </w:tcPr>
          <w:p>
            <w:pPr>
              <w:spacing w:before="0" w:after="0"/>
            </w:pPr>
            <w:r>
              <w:rPr>
                <w:rFonts w:ascii="Times New Roman" w:hAnsi="Times New Roman" w:eastAsia="Times New Roman"/>
                <w:b w:val="0"/>
                <w:sz w:val="16"/>
              </w:rPr>
              <w:t>98,5</w:t>
            </w:r>
          </w:p>
        </w:tc>
        <w:tc>
          <w:tcPr>
            <w:tcW w:type="dxa" w:w="1512"/>
          </w:tcPr>
          <w:p>
            <w:pPr>
              <w:spacing w:before="0" w:after="0"/>
            </w:pPr>
            <w:r>
              <w:rPr>
                <w:rFonts w:ascii="Times New Roman" w:hAnsi="Times New Roman" w:eastAsia="Times New Roman"/>
                <w:b w:val="0"/>
                <w:sz w:val="16"/>
              </w:rPr>
              <w:t>90</w:t>
            </w:r>
          </w:p>
        </w:tc>
        <w:tc>
          <w:tcPr>
            <w:tcW w:type="dxa" w:w="1512"/>
          </w:tcPr>
          <w:p>
            <w:pPr>
              <w:spacing w:before="0" w:after="0"/>
            </w:pPr>
            <w:r>
              <w:rPr>
                <w:rFonts w:ascii="Times New Roman" w:hAnsi="Times New Roman" w:eastAsia="Times New Roman"/>
                <w:b w:val="0"/>
                <w:sz w:val="16"/>
              </w:rPr>
              <w:t>11 623</w:t>
            </w:r>
          </w:p>
        </w:tc>
      </w:tr>
      <w:tr>
        <w:trPr>
          <w:cantSplit/>
        </w:trPr>
        <w:tc>
          <w:tcPr>
            <w:tcW w:type="dxa" w:w="1512"/>
          </w:tcPr>
          <w:p>
            <w:pPr>
              <w:spacing w:before="0" w:after="0"/>
            </w:pPr>
            <w:r>
              <w:rPr>
                <w:rFonts w:ascii="Times New Roman" w:hAnsi="Times New Roman" w:eastAsia="Times New Roman"/>
                <w:b w:val="0"/>
                <w:sz w:val="16"/>
              </w:rPr>
              <w:t>RuSERRC</w:t>
            </w:r>
          </w:p>
        </w:tc>
        <w:tc>
          <w:tcPr>
            <w:tcW w:type="dxa" w:w="1512"/>
          </w:tcPr>
          <w:p>
            <w:pPr>
              <w:spacing w:before="0" w:after="0"/>
            </w:pPr>
            <w:r>
              <w:rPr>
                <w:rFonts w:ascii="Times New Roman" w:hAnsi="Times New Roman" w:eastAsia="Times New Roman"/>
                <w:b w:val="0"/>
                <w:sz w:val="16"/>
              </w:rPr>
              <w:t>1 492</w:t>
            </w:r>
          </w:p>
        </w:tc>
        <w:tc>
          <w:tcPr>
            <w:tcW w:type="dxa" w:w="1512"/>
          </w:tcPr>
          <w:p>
            <w:pPr>
              <w:spacing w:before="0" w:after="0"/>
            </w:pPr>
            <w:r>
              <w:rPr>
                <w:rFonts w:ascii="Times New Roman" w:hAnsi="Times New Roman" w:eastAsia="Times New Roman"/>
                <w:b w:val="0"/>
                <w:sz w:val="16"/>
              </w:rPr>
              <w:t>508</w:t>
            </w:r>
          </w:p>
        </w:tc>
        <w:tc>
          <w:tcPr>
            <w:tcW w:type="dxa" w:w="1512"/>
          </w:tcPr>
          <w:p>
            <w:pPr>
              <w:spacing w:before="0" w:after="0"/>
            </w:pPr>
            <w:r>
              <w:rPr>
                <w:rFonts w:ascii="Times New Roman" w:hAnsi="Times New Roman" w:eastAsia="Times New Roman"/>
                <w:b w:val="0"/>
                <w:sz w:val="16"/>
              </w:rPr>
              <w:t>34,0</w:t>
            </w:r>
          </w:p>
        </w:tc>
        <w:tc>
          <w:tcPr>
            <w:tcW w:type="dxa" w:w="1512"/>
          </w:tcPr>
          <w:p>
            <w:pPr>
              <w:spacing w:before="0" w:after="0"/>
            </w:pPr>
            <w:r>
              <w:rPr>
                <w:rFonts w:ascii="Times New Roman" w:hAnsi="Times New Roman" w:eastAsia="Times New Roman"/>
                <w:b w:val="0"/>
                <w:sz w:val="16"/>
              </w:rPr>
              <w:t>300</w:t>
            </w:r>
          </w:p>
        </w:tc>
        <w:tc>
          <w:tcPr>
            <w:tcW w:type="dxa" w:w="1512"/>
          </w:tcPr>
          <w:p>
            <w:pPr>
              <w:spacing w:before="0" w:after="0"/>
            </w:pPr>
            <w:r>
              <w:rPr>
                <w:rFonts w:ascii="Times New Roman" w:hAnsi="Times New Roman" w:eastAsia="Times New Roman"/>
                <w:b w:val="0"/>
                <w:sz w:val="16"/>
              </w:rPr>
              <w:t>2 055</w:t>
            </w:r>
          </w:p>
        </w:tc>
      </w:tr>
      <w:tr>
        <w:trPr>
          <w:cantSplit/>
        </w:trPr>
        <w:tc>
          <w:tcPr>
            <w:tcW w:type="dxa" w:w="1512"/>
          </w:tcPr>
          <w:p>
            <w:pPr>
              <w:spacing w:before="0" w:after="0"/>
            </w:pPr>
            <w:r>
              <w:rPr>
                <w:rFonts w:ascii="Times New Roman" w:hAnsi="Times New Roman" w:eastAsia="Times New Roman"/>
                <w:b w:val="0"/>
                <w:sz w:val="16"/>
              </w:rPr>
              <w:t>SciMDIX</w:t>
            </w:r>
          </w:p>
        </w:tc>
        <w:tc>
          <w:tcPr>
            <w:tcW w:type="dxa" w:w="1512"/>
          </w:tcPr>
          <w:p>
            <w:pPr>
              <w:spacing w:before="0" w:after="0"/>
            </w:pPr>
            <w:r>
              <w:rPr>
                <w:rFonts w:ascii="Times New Roman" w:hAnsi="Times New Roman" w:eastAsia="Times New Roman"/>
                <w:b w:val="0"/>
                <w:sz w:val="16"/>
              </w:rPr>
              <w:t>1 001</w:t>
            </w:r>
          </w:p>
        </w:tc>
        <w:tc>
          <w:tcPr>
            <w:tcW w:type="dxa" w:w="1512"/>
          </w:tcPr>
          <w:p>
            <w:pPr>
              <w:spacing w:before="0" w:after="0"/>
            </w:pPr>
            <w:r>
              <w:rPr>
                <w:rFonts w:ascii="Times New Roman" w:hAnsi="Times New Roman" w:eastAsia="Times New Roman"/>
                <w:b w:val="0"/>
                <w:sz w:val="16"/>
              </w:rPr>
              <w:t>185</w:t>
            </w:r>
          </w:p>
        </w:tc>
        <w:tc>
          <w:tcPr>
            <w:tcW w:type="dxa" w:w="1512"/>
          </w:tcPr>
          <w:p>
            <w:pPr>
              <w:spacing w:before="0" w:after="0"/>
            </w:pPr>
            <w:r>
              <w:rPr>
                <w:rFonts w:ascii="Times New Roman" w:hAnsi="Times New Roman" w:eastAsia="Times New Roman"/>
                <w:b w:val="0"/>
                <w:sz w:val="16"/>
              </w:rPr>
              <w:t>18,5</w:t>
            </w:r>
          </w:p>
        </w:tc>
        <w:tc>
          <w:tcPr>
            <w:tcW w:type="dxa" w:w="1512"/>
          </w:tcPr>
          <w:p>
            <w:pPr>
              <w:spacing w:before="0" w:after="0"/>
            </w:pPr>
            <w:r>
              <w:rPr>
                <w:rFonts w:ascii="Times New Roman" w:hAnsi="Times New Roman" w:eastAsia="Times New Roman"/>
                <w:b w:val="0"/>
                <w:sz w:val="16"/>
              </w:rPr>
              <w:t>125</w:t>
            </w:r>
          </w:p>
        </w:tc>
        <w:tc>
          <w:tcPr>
            <w:tcW w:type="dxa" w:w="1512"/>
          </w:tcPr>
          <w:p>
            <w:pPr>
              <w:spacing w:before="0" w:after="0"/>
            </w:pPr>
            <w:r>
              <w:rPr>
                <w:rFonts w:ascii="Times New Roman" w:hAnsi="Times New Roman" w:eastAsia="Times New Roman"/>
                <w:b w:val="0"/>
                <w:sz w:val="16"/>
              </w:rPr>
              <w:t>1 026</w:t>
            </w:r>
          </w:p>
        </w:tc>
      </w:tr>
    </w:tbl>
    <w:p>
      <w:pPr>
        <w:keepNext/>
        <w:spacing w:line="240" w:lineRule="auto" w:after="0" w:before="240"/>
        <w:jc w:val="both"/>
      </w:pPr>
      <w:r>
        <w:rPr>
          <w:rFonts w:ascii="Times New Roman" w:hAnsi="Times New Roman" w:eastAsia="Times New Roman"/>
          <w:sz w:val="24"/>
        </w:rPr>
        <w:t>Таблица 4 - Состав классов внутри допущенных обучающих вопросов</w:t>
      </w:r>
    </w:p>
    <w:p>
      <w:pPr>
        <w:keepNext/>
        <w:spacing w:line="240" w:lineRule="auto" w:after="120"/>
        <w:jc w:val="both"/>
      </w:pPr>
      <w:r>
        <w:rPr>
          <w:rFonts w:ascii="Times New Roman" w:hAnsi="Times New Roman" w:eastAsia="Times New Roman"/>
          <w:sz w:val="24"/>
        </w:rPr>
        <w:t>Table 4 - Class composition within admitted training questions</w:t>
      </w:r>
    </w:p>
    <w:tbl>
      <w:tblPr>
        <w:tblW w:type="auto" w:w="0"/>
        <w:tblLayout w:type="autofit"/>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1296"/>
          </w:tcPr>
          <w:p>
            <w:r>
              <w:rPr>
                <w:rFonts w:ascii="Times New Roman" w:hAnsi="Times New Roman"/>
                <w:b/>
                <w:sz w:val="15"/>
              </w:rPr>
              <w:t>Набор</w:t>
            </w:r>
          </w:p>
        </w:tc>
        <w:tc>
          <w:tcPr>
            <w:tcW w:type="dxa" w:w="1296"/>
          </w:tcPr>
          <w:p>
            <w:r>
              <w:rPr>
                <w:rFonts w:ascii="Times New Roman" w:hAnsi="Times New Roman"/>
                <w:b/>
                <w:sz w:val="15"/>
              </w:rPr>
              <w:t>Положительные</w:t>
            </w:r>
          </w:p>
        </w:tc>
        <w:tc>
          <w:tcPr>
            <w:tcW w:type="dxa" w:w="1296"/>
          </w:tcPr>
          <w:p>
            <w:r>
              <w:rPr>
                <w:rFonts w:ascii="Times New Roman" w:hAnsi="Times New Roman"/>
                <w:b/>
                <w:sz w:val="15"/>
              </w:rPr>
              <w:t>Сложные отриц.</w:t>
            </w:r>
          </w:p>
        </w:tc>
        <w:tc>
          <w:tcPr>
            <w:tcW w:type="dxa" w:w="1296"/>
          </w:tcPr>
          <w:p>
            <w:r>
              <w:rPr>
                <w:rFonts w:ascii="Times New Roman" w:hAnsi="Times New Roman"/>
                <w:b/>
                <w:sz w:val="15"/>
              </w:rPr>
              <w:t>Простые отриц.</w:t>
            </w:r>
          </w:p>
        </w:tc>
        <w:tc>
          <w:tcPr>
            <w:tcW w:type="dxa" w:w="1296"/>
          </w:tcPr>
          <w:p>
            <w:r>
              <w:rPr>
                <w:rFonts w:ascii="Times New Roman" w:hAnsi="Times New Roman"/>
                <w:b/>
                <w:sz w:val="15"/>
              </w:rPr>
              <w:t>Подтв. без ответа</w:t>
            </w:r>
          </w:p>
        </w:tc>
        <w:tc>
          <w:tcPr>
            <w:tcW w:type="dxa" w:w="1296"/>
          </w:tcPr>
          <w:p>
            <w:r>
              <w:rPr>
                <w:rFonts w:ascii="Times New Roman" w:hAnsi="Times New Roman"/>
                <w:b/>
                <w:sz w:val="15"/>
              </w:rPr>
              <w:t>Вероятн. лож. отриц.</w:t>
            </w:r>
          </w:p>
        </w:tc>
        <w:tc>
          <w:tcPr>
            <w:tcW w:type="dxa" w:w="1296"/>
          </w:tcPr>
          <w:p>
            <w:r>
              <w:rPr>
                <w:rFonts w:ascii="Times New Roman" w:hAnsi="Times New Roman"/>
                <w:b/>
                <w:sz w:val="15"/>
              </w:rPr>
              <w:t>Зависимые от вопроса</w:t>
            </w:r>
          </w:p>
        </w:tc>
      </w:tr>
      <w:tr>
        <w:trPr>
          <w:cantSplit/>
        </w:trPr>
        <w:tc>
          <w:tcPr>
            <w:tcW w:type="dxa" w:w="1296"/>
          </w:tcPr>
          <w:p>
            <w:pPr>
              <w:spacing w:before="0" w:after="0"/>
            </w:pPr>
            <w:r>
              <w:rPr>
                <w:rFonts w:ascii="Times New Roman" w:hAnsi="Times New Roman" w:eastAsia="Times New Roman"/>
                <w:b w:val="0"/>
                <w:sz w:val="15"/>
              </w:rPr>
              <w:t>SciREX</w:t>
            </w:r>
          </w:p>
        </w:tc>
        <w:tc>
          <w:tcPr>
            <w:tcW w:type="dxa" w:w="1296"/>
          </w:tcPr>
          <w:p>
            <w:pPr>
              <w:spacing w:before="0" w:after="0"/>
            </w:pPr>
            <w:r>
              <w:rPr>
                <w:rFonts w:ascii="Times New Roman" w:hAnsi="Times New Roman" w:eastAsia="Times New Roman"/>
                <w:b w:val="0"/>
                <w:sz w:val="15"/>
              </w:rPr>
              <w:t>1 657</w:t>
            </w:r>
          </w:p>
        </w:tc>
        <w:tc>
          <w:tcPr>
            <w:tcW w:type="dxa" w:w="1296"/>
          </w:tcPr>
          <w:p>
            <w:pPr>
              <w:spacing w:before="0" w:after="0"/>
            </w:pPr>
            <w:r>
              <w:rPr>
                <w:rFonts w:ascii="Times New Roman" w:hAnsi="Times New Roman" w:eastAsia="Times New Roman"/>
                <w:b w:val="0"/>
                <w:sz w:val="15"/>
              </w:rPr>
              <w:t>963</w:t>
            </w:r>
          </w:p>
        </w:tc>
        <w:tc>
          <w:tcPr>
            <w:tcW w:type="dxa" w:w="1296"/>
          </w:tcPr>
          <w:p>
            <w:pPr>
              <w:spacing w:before="0" w:after="0"/>
            </w:pPr>
            <w:r>
              <w:rPr>
                <w:rFonts w:ascii="Times New Roman" w:hAnsi="Times New Roman" w:eastAsia="Times New Roman"/>
                <w:b w:val="0"/>
                <w:sz w:val="15"/>
              </w:rPr>
              <w:t>4 352</w:t>
            </w:r>
          </w:p>
        </w:tc>
        <w:tc>
          <w:tcPr>
            <w:tcW w:type="dxa" w:w="1296"/>
          </w:tcPr>
          <w:p>
            <w:pPr>
              <w:spacing w:before="0" w:after="0"/>
            </w:pPr>
            <w:r>
              <w:rPr>
                <w:rFonts w:ascii="Times New Roman" w:hAnsi="Times New Roman" w:eastAsia="Times New Roman"/>
                <w:b w:val="0"/>
                <w:sz w:val="15"/>
              </w:rPr>
              <w:t>2 466</w:t>
            </w:r>
          </w:p>
        </w:tc>
        <w:tc>
          <w:tcPr>
            <w:tcW w:type="dxa" w:w="1296"/>
          </w:tcPr>
          <w:p>
            <w:pPr>
              <w:spacing w:before="0" w:after="0"/>
            </w:pPr>
            <w:r>
              <w:rPr>
                <w:rFonts w:ascii="Times New Roman" w:hAnsi="Times New Roman" w:eastAsia="Times New Roman"/>
                <w:b w:val="0"/>
                <w:sz w:val="15"/>
              </w:rPr>
              <w:t>1 948</w:t>
            </w:r>
          </w:p>
        </w:tc>
        <w:tc>
          <w:tcPr>
            <w:tcW w:type="dxa" w:w="1296"/>
          </w:tcPr>
          <w:p>
            <w:pPr>
              <w:spacing w:before="0" w:after="0"/>
            </w:pPr>
            <w:r>
              <w:rPr>
                <w:rFonts w:ascii="Times New Roman" w:hAnsi="Times New Roman" w:eastAsia="Times New Roman"/>
                <w:b w:val="0"/>
                <w:sz w:val="15"/>
              </w:rPr>
              <w:t>676</w:t>
            </w:r>
          </w:p>
        </w:tc>
      </w:tr>
      <w:tr>
        <w:trPr>
          <w:cantSplit/>
        </w:trPr>
        <w:tc>
          <w:tcPr>
            <w:tcW w:type="dxa" w:w="1296"/>
          </w:tcPr>
          <w:p>
            <w:pPr>
              <w:spacing w:before="0" w:after="0"/>
            </w:pPr>
            <w:r>
              <w:rPr>
                <w:rFonts w:ascii="Times New Roman" w:hAnsi="Times New Roman" w:eastAsia="Times New Roman"/>
                <w:b w:val="0"/>
                <w:sz w:val="15"/>
              </w:rPr>
              <w:t>SciER-384</w:t>
            </w:r>
          </w:p>
        </w:tc>
        <w:tc>
          <w:tcPr>
            <w:tcW w:type="dxa" w:w="1296"/>
          </w:tcPr>
          <w:p>
            <w:pPr>
              <w:spacing w:before="0" w:after="0"/>
            </w:pPr>
            <w:r>
              <w:rPr>
                <w:rFonts w:ascii="Times New Roman" w:hAnsi="Times New Roman" w:eastAsia="Times New Roman"/>
                <w:b w:val="0"/>
                <w:sz w:val="15"/>
              </w:rPr>
              <w:t>1 017</w:t>
            </w:r>
          </w:p>
        </w:tc>
        <w:tc>
          <w:tcPr>
            <w:tcW w:type="dxa" w:w="1296"/>
          </w:tcPr>
          <w:p>
            <w:pPr>
              <w:spacing w:before="0" w:after="0"/>
            </w:pPr>
            <w:r>
              <w:rPr>
                <w:rFonts w:ascii="Times New Roman" w:hAnsi="Times New Roman" w:eastAsia="Times New Roman"/>
                <w:b w:val="0"/>
                <w:sz w:val="15"/>
              </w:rPr>
              <w:t>102</w:t>
            </w:r>
          </w:p>
        </w:tc>
        <w:tc>
          <w:tcPr>
            <w:tcW w:type="dxa" w:w="1296"/>
          </w:tcPr>
          <w:p>
            <w:pPr>
              <w:spacing w:before="0" w:after="0"/>
            </w:pPr>
            <w:r>
              <w:rPr>
                <w:rFonts w:ascii="Times New Roman" w:hAnsi="Times New Roman" w:eastAsia="Times New Roman"/>
                <w:b w:val="0"/>
                <w:sz w:val="15"/>
              </w:rPr>
              <w:t>52</w:t>
            </w:r>
          </w:p>
        </w:tc>
        <w:tc>
          <w:tcPr>
            <w:tcW w:type="dxa" w:w="1296"/>
          </w:tcPr>
          <w:p>
            <w:pPr>
              <w:spacing w:before="0" w:after="0"/>
            </w:pPr>
            <w:r>
              <w:rPr>
                <w:rFonts w:ascii="Times New Roman" w:hAnsi="Times New Roman" w:eastAsia="Times New Roman"/>
                <w:b w:val="0"/>
                <w:sz w:val="15"/>
              </w:rPr>
              <w:t>1 134</w:t>
            </w:r>
          </w:p>
        </w:tc>
        <w:tc>
          <w:tcPr>
            <w:tcW w:type="dxa" w:w="1296"/>
          </w:tcPr>
          <w:p>
            <w:pPr>
              <w:spacing w:before="0" w:after="0"/>
            </w:pPr>
            <w:r>
              <w:rPr>
                <w:rFonts w:ascii="Times New Roman" w:hAnsi="Times New Roman" w:eastAsia="Times New Roman"/>
                <w:b w:val="0"/>
                <w:sz w:val="15"/>
              </w:rPr>
              <w:t>219</w:t>
            </w:r>
          </w:p>
        </w:tc>
        <w:tc>
          <w:tcPr>
            <w:tcW w:type="dxa" w:w="1296"/>
          </w:tcPr>
          <w:p>
            <w:pPr>
              <w:spacing w:before="0" w:after="0"/>
            </w:pPr>
            <w:r>
              <w:rPr>
                <w:rFonts w:ascii="Times New Roman" w:hAnsi="Times New Roman" w:eastAsia="Times New Roman"/>
                <w:b w:val="0"/>
                <w:sz w:val="15"/>
              </w:rPr>
              <w:t>0</w:t>
            </w:r>
          </w:p>
        </w:tc>
      </w:tr>
      <w:tr>
        <w:trPr>
          <w:cantSplit/>
        </w:trPr>
        <w:tc>
          <w:tcPr>
            <w:tcW w:type="dxa" w:w="1296"/>
          </w:tcPr>
          <w:p>
            <w:pPr>
              <w:spacing w:before="0" w:after="0"/>
            </w:pPr>
            <w:r>
              <w:rPr>
                <w:rFonts w:ascii="Times New Roman" w:hAnsi="Times New Roman" w:eastAsia="Times New Roman"/>
                <w:b w:val="0"/>
                <w:sz w:val="15"/>
              </w:rPr>
              <w:t>SciER-128</w:t>
            </w:r>
          </w:p>
        </w:tc>
        <w:tc>
          <w:tcPr>
            <w:tcW w:type="dxa" w:w="1296"/>
          </w:tcPr>
          <w:p>
            <w:pPr>
              <w:spacing w:before="0" w:after="0"/>
            </w:pPr>
            <w:r>
              <w:rPr>
                <w:rFonts w:ascii="Times New Roman" w:hAnsi="Times New Roman" w:eastAsia="Times New Roman"/>
                <w:b w:val="0"/>
                <w:sz w:val="15"/>
              </w:rPr>
              <w:t>3 710</w:t>
            </w:r>
          </w:p>
        </w:tc>
        <w:tc>
          <w:tcPr>
            <w:tcW w:type="dxa" w:w="1296"/>
          </w:tcPr>
          <w:p>
            <w:pPr>
              <w:spacing w:before="0" w:after="0"/>
            </w:pPr>
            <w:r>
              <w:rPr>
                <w:rFonts w:ascii="Times New Roman" w:hAnsi="Times New Roman" w:eastAsia="Times New Roman"/>
                <w:b w:val="0"/>
                <w:sz w:val="15"/>
              </w:rPr>
              <w:t>195</w:t>
            </w:r>
          </w:p>
        </w:tc>
        <w:tc>
          <w:tcPr>
            <w:tcW w:type="dxa" w:w="1296"/>
          </w:tcPr>
          <w:p>
            <w:pPr>
              <w:spacing w:before="0" w:after="0"/>
            </w:pPr>
            <w:r>
              <w:rPr>
                <w:rFonts w:ascii="Times New Roman" w:hAnsi="Times New Roman" w:eastAsia="Times New Roman"/>
                <w:b w:val="0"/>
                <w:sz w:val="15"/>
              </w:rPr>
              <w:t>2 837</w:t>
            </w:r>
          </w:p>
        </w:tc>
        <w:tc>
          <w:tcPr>
            <w:tcW w:type="dxa" w:w="1296"/>
          </w:tcPr>
          <w:p>
            <w:pPr>
              <w:spacing w:before="0" w:after="0"/>
            </w:pPr>
            <w:r>
              <w:rPr>
                <w:rFonts w:ascii="Times New Roman" w:hAnsi="Times New Roman" w:eastAsia="Times New Roman"/>
                <w:b w:val="0"/>
                <w:sz w:val="15"/>
              </w:rPr>
              <w:t>4 048</w:t>
            </w:r>
          </w:p>
        </w:tc>
        <w:tc>
          <w:tcPr>
            <w:tcW w:type="dxa" w:w="1296"/>
          </w:tcPr>
          <w:p>
            <w:pPr>
              <w:spacing w:before="0" w:after="0"/>
            </w:pPr>
            <w:r>
              <w:rPr>
                <w:rFonts w:ascii="Times New Roman" w:hAnsi="Times New Roman" w:eastAsia="Times New Roman"/>
                <w:b w:val="0"/>
                <w:sz w:val="15"/>
              </w:rPr>
              <w:t>833</w:t>
            </w:r>
          </w:p>
        </w:tc>
        <w:tc>
          <w:tcPr>
            <w:tcW w:type="dxa" w:w="1296"/>
          </w:tcPr>
          <w:p>
            <w:pPr>
              <w:spacing w:before="0" w:after="0"/>
            </w:pPr>
            <w:r>
              <w:rPr>
                <w:rFonts w:ascii="Times New Roman" w:hAnsi="Times New Roman" w:eastAsia="Times New Roman"/>
                <w:b w:val="0"/>
                <w:sz w:val="15"/>
              </w:rPr>
              <w:t>0</w:t>
            </w:r>
          </w:p>
        </w:tc>
      </w:tr>
      <w:tr>
        <w:trPr>
          <w:cantSplit/>
        </w:trPr>
        <w:tc>
          <w:tcPr>
            <w:tcW w:type="dxa" w:w="1296"/>
          </w:tcPr>
          <w:p>
            <w:pPr>
              <w:spacing w:before="0" w:after="0"/>
            </w:pPr>
            <w:r>
              <w:rPr>
                <w:rFonts w:ascii="Times New Roman" w:hAnsi="Times New Roman" w:eastAsia="Times New Roman"/>
                <w:b w:val="0"/>
                <w:sz w:val="15"/>
              </w:rPr>
              <w:t>RuSERRC</w:t>
            </w:r>
          </w:p>
        </w:tc>
        <w:tc>
          <w:tcPr>
            <w:tcW w:type="dxa" w:w="1296"/>
          </w:tcPr>
          <w:p>
            <w:pPr>
              <w:spacing w:before="0" w:after="0"/>
            </w:pPr>
            <w:r>
              <w:rPr>
                <w:rFonts w:ascii="Times New Roman" w:hAnsi="Times New Roman" w:eastAsia="Times New Roman"/>
                <w:b w:val="0"/>
                <w:sz w:val="15"/>
              </w:rPr>
              <w:t>672</w:t>
            </w:r>
          </w:p>
        </w:tc>
        <w:tc>
          <w:tcPr>
            <w:tcW w:type="dxa" w:w="1296"/>
          </w:tcPr>
          <w:p>
            <w:pPr>
              <w:spacing w:before="0" w:after="0"/>
            </w:pPr>
            <w:r>
              <w:rPr>
                <w:rFonts w:ascii="Times New Roman" w:hAnsi="Times New Roman" w:eastAsia="Times New Roman"/>
                <w:b w:val="0"/>
                <w:sz w:val="15"/>
              </w:rPr>
              <w:t>623</w:t>
            </w:r>
          </w:p>
        </w:tc>
        <w:tc>
          <w:tcPr>
            <w:tcW w:type="dxa" w:w="1296"/>
          </w:tcPr>
          <w:p>
            <w:pPr>
              <w:spacing w:before="0" w:after="0"/>
            </w:pPr>
            <w:r>
              <w:rPr>
                <w:rFonts w:ascii="Times New Roman" w:hAnsi="Times New Roman" w:eastAsia="Times New Roman"/>
                <w:b w:val="0"/>
                <w:sz w:val="15"/>
              </w:rPr>
              <w:t>26</w:t>
            </w:r>
          </w:p>
        </w:tc>
        <w:tc>
          <w:tcPr>
            <w:tcW w:type="dxa" w:w="1296"/>
          </w:tcPr>
          <w:p>
            <w:pPr>
              <w:spacing w:before="0" w:after="0"/>
            </w:pPr>
            <w:r>
              <w:rPr>
                <w:rFonts w:ascii="Times New Roman" w:hAnsi="Times New Roman" w:eastAsia="Times New Roman"/>
                <w:b w:val="0"/>
                <w:sz w:val="15"/>
              </w:rPr>
              <w:t>218</w:t>
            </w:r>
          </w:p>
        </w:tc>
        <w:tc>
          <w:tcPr>
            <w:tcW w:type="dxa" w:w="1296"/>
          </w:tcPr>
          <w:p>
            <w:pPr>
              <w:spacing w:before="0" w:after="0"/>
            </w:pPr>
            <w:r>
              <w:rPr>
                <w:rFonts w:ascii="Times New Roman" w:hAnsi="Times New Roman" w:eastAsia="Times New Roman"/>
                <w:b w:val="0"/>
                <w:sz w:val="15"/>
              </w:rPr>
              <w:t>372</w:t>
            </w:r>
          </w:p>
        </w:tc>
        <w:tc>
          <w:tcPr>
            <w:tcW w:type="dxa" w:w="1296"/>
          </w:tcPr>
          <w:p>
            <w:pPr>
              <w:spacing w:before="0" w:after="0"/>
            </w:pPr>
            <w:r>
              <w:rPr>
                <w:rFonts w:ascii="Times New Roman" w:hAnsi="Times New Roman" w:eastAsia="Times New Roman"/>
                <w:b w:val="0"/>
                <w:sz w:val="15"/>
              </w:rPr>
              <w:t>144</w:t>
            </w:r>
          </w:p>
        </w:tc>
      </w:tr>
      <w:tr>
        <w:trPr>
          <w:cantSplit/>
        </w:trPr>
        <w:tc>
          <w:tcPr>
            <w:tcW w:type="dxa" w:w="1296"/>
          </w:tcPr>
          <w:p>
            <w:pPr>
              <w:spacing w:before="0" w:after="0"/>
            </w:pPr>
            <w:r>
              <w:rPr>
                <w:rFonts w:ascii="Times New Roman" w:hAnsi="Times New Roman" w:eastAsia="Times New Roman"/>
                <w:b w:val="0"/>
                <w:sz w:val="15"/>
              </w:rPr>
              <w:t>SciMDIX</w:t>
            </w:r>
          </w:p>
        </w:tc>
        <w:tc>
          <w:tcPr>
            <w:tcW w:type="dxa" w:w="1296"/>
          </w:tcPr>
          <w:p>
            <w:pPr>
              <w:spacing w:before="0" w:after="0"/>
            </w:pPr>
            <w:r>
              <w:rPr>
                <w:rFonts w:ascii="Times New Roman" w:hAnsi="Times New Roman" w:eastAsia="Times New Roman"/>
                <w:b w:val="0"/>
                <w:sz w:val="15"/>
              </w:rPr>
              <w:t>256</w:t>
            </w:r>
          </w:p>
        </w:tc>
        <w:tc>
          <w:tcPr>
            <w:tcW w:type="dxa" w:w="1296"/>
          </w:tcPr>
          <w:p>
            <w:pPr>
              <w:spacing w:before="0" w:after="0"/>
            </w:pPr>
            <w:r>
              <w:rPr>
                <w:rFonts w:ascii="Times New Roman" w:hAnsi="Times New Roman" w:eastAsia="Times New Roman"/>
                <w:b w:val="0"/>
                <w:sz w:val="15"/>
              </w:rPr>
              <w:t>339</w:t>
            </w:r>
          </w:p>
        </w:tc>
        <w:tc>
          <w:tcPr>
            <w:tcW w:type="dxa" w:w="1296"/>
          </w:tcPr>
          <w:p>
            <w:pPr>
              <w:spacing w:before="0" w:after="0"/>
            </w:pPr>
            <w:r>
              <w:rPr>
                <w:rFonts w:ascii="Times New Roman" w:hAnsi="Times New Roman" w:eastAsia="Times New Roman"/>
                <w:b w:val="0"/>
                <w:sz w:val="15"/>
              </w:rPr>
              <w:t>47</w:t>
            </w:r>
          </w:p>
        </w:tc>
        <w:tc>
          <w:tcPr>
            <w:tcW w:type="dxa" w:w="1296"/>
          </w:tcPr>
          <w:p>
            <w:pPr>
              <w:spacing w:before="0" w:after="0"/>
            </w:pPr>
            <w:r>
              <w:rPr>
                <w:rFonts w:ascii="Times New Roman" w:hAnsi="Times New Roman" w:eastAsia="Times New Roman"/>
                <w:b w:val="0"/>
                <w:sz w:val="15"/>
              </w:rPr>
              <w:t>165</w:t>
            </w:r>
          </w:p>
        </w:tc>
        <w:tc>
          <w:tcPr>
            <w:tcW w:type="dxa" w:w="1296"/>
          </w:tcPr>
          <w:p>
            <w:pPr>
              <w:spacing w:before="0" w:after="0"/>
            </w:pPr>
            <w:r>
              <w:rPr>
                <w:rFonts w:ascii="Times New Roman" w:hAnsi="Times New Roman" w:eastAsia="Times New Roman"/>
                <w:b w:val="0"/>
                <w:sz w:val="15"/>
              </w:rPr>
              <w:t>219</w:t>
            </w:r>
          </w:p>
        </w:tc>
        <w:tc>
          <w:tcPr>
            <w:tcW w:type="dxa" w:w="1296"/>
          </w:tcPr>
          <w:p>
            <w:pPr>
              <w:spacing w:before="0" w:after="0"/>
            </w:pPr>
            <w:r>
              <w:rPr>
                <w:rFonts w:ascii="Times New Roman" w:hAnsi="Times New Roman" w:eastAsia="Times New Roman"/>
                <w:b w:val="0"/>
                <w:sz w:val="15"/>
              </w:rPr>
              <w:t>0</w:t>
            </w:r>
          </w:p>
        </w:tc>
      </w:tr>
    </w:tbl>
    <w:p>
      <w:pPr>
        <w:keepNext/>
        <w:spacing w:line="240" w:lineRule="auto" w:after="0" w:before="120"/>
        <w:jc w:val="left"/>
      </w:pPr>
      <w:r>
        <w:rPr>
          <w:rFonts w:ascii="Times New Roman" w:hAnsi="Times New Roman" w:eastAsia="Times New Roman"/>
          <w:b/>
          <w:i w:val="0"/>
          <w:sz w:val="24"/>
        </w:rPr>
        <w:t>Протокол вычислительного эксперимента и контроль корректности</w:t>
      </w:r>
    </w:p>
    <w:p>
      <w:pPr>
        <w:spacing w:line="240" w:lineRule="auto" w:after="0"/>
        <w:ind w:firstLine="709"/>
        <w:jc w:val="both"/>
      </w:pPr>
      <w:r>
        <w:rPr>
          <w:rFonts w:ascii="Times New Roman" w:hAnsi="Times New Roman" w:eastAsia="Times New Roman"/>
          <w:b w:val="0"/>
          <w:i w:val="0"/>
          <w:sz w:val="24"/>
        </w:rPr>
        <w:t>Все доступные официальные разбиения были использованы без замены внутренними аналогами. Если отдельная часть отсутствовала в источнике, её статус и способ формирования фиксировались явно. Для SciREX и SciER использованы официальные train, development и test; следовательно, настройка выполнялась без обращения к test. SciMDIX предоставляет официальные train и test, но не отдельную validation-часть, поэтому внутренняя validation была детерминированно выделена по документам только из official train, после чего финальная модель повторно обучалась на полном train. У RuSERRC отсутствует официальный скрытый test; для него заранее сформирован стандартизованный документный holdout, а результаты не трактуются как official-test confirmation. Такая дифференциация необходима, чтобы не приписывать внутреннему разбиению статус, которого нет у исходного ресурса.</w:t>
      </w:r>
    </w:p>
    <w:p>
      <w:pPr>
        <w:spacing w:line="240" w:lineRule="auto" w:after="0"/>
        <w:ind w:firstLine="709"/>
        <w:jc w:val="both"/>
      </w:pPr>
      <w:r>
        <w:rPr>
          <w:rFonts w:ascii="Times New Roman" w:hAnsi="Times New Roman" w:eastAsia="Times New Roman"/>
          <w:b w:val="0"/>
          <w:i w:val="0"/>
          <w:sz w:val="24"/>
        </w:rPr>
        <w:t>Во всех конфигурациях идентификатор документа являлся единицей разбиения: фрагменты одного документа не могли одновременно участвовать в обучении и оценке. Это ограничение предотвращает утечку почти совпадающих контекстов. Отсутствие предшествующего использования test проверялось по идентификаторам, нормализованным текстам и DOI. Test-части SciREX, SciER и SciMDIX не обнаружены в исторических файлах V1-V10. RuSERRC ранее участвовал в разработке и учитывался отдельно. Конфигурации SciER-128 и SciER-384 построены на одинаковых официальных документах; первая используется только в отдельном эксперименте чувствительности к сегментации.</w:t>
      </w:r>
    </w:p>
    <w:p>
      <w:pPr>
        <w:keepNext/>
        <w:spacing w:line="240" w:lineRule="auto" w:after="0" w:before="240"/>
        <w:jc w:val="both"/>
      </w:pPr>
      <w:r>
        <w:rPr>
          <w:rFonts w:ascii="Times New Roman" w:hAnsi="Times New Roman" w:eastAsia="Times New Roman"/>
          <w:b w:val="0"/>
          <w:i w:val="0"/>
          <w:sz w:val="24"/>
        </w:rPr>
        <w:t>Таблица 5 - Протоколы разбиения и состав тестовой оценки</w:t>
      </w:r>
    </w:p>
    <w:p>
      <w:pPr>
        <w:keepNext/>
        <w:spacing w:line="240" w:lineRule="auto" w:after="120"/>
        <w:jc w:val="both"/>
      </w:pPr>
      <w:r>
        <w:rPr>
          <w:rFonts w:ascii="Times New Roman" w:hAnsi="Times New Roman" w:eastAsia="Times New Roman"/>
          <w:b w:val="0"/>
          <w:i w:val="0"/>
          <w:sz w:val="24"/>
          <w:lang w:val="en-US"/>
        </w:rPr>
        <w:t>Table 5 - Partition protocols and test-evaluation composition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124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Конфигурация</w:t>
            </w:r>
          </w:p>
        </w:tc>
        <w:tc>
          <w:tcPr>
            <w:tcW w:type="dxa" w:w="181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Слепые предсказания</w:t>
            </w:r>
          </w:p>
        </w:tc>
        <w:tc>
          <w:tcPr>
            <w:tcW w:type="dxa" w:w="181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Итоговая оценка</w:t>
            </w:r>
          </w:p>
        </w:tc>
        <w:tc>
          <w:tcPr>
            <w:tcW w:type="dxa" w:w="2551"/>
            <w:vAlign w:val="center"/>
            <w:shd w:fill="D9EAF7"/>
            <w:tcMar>
              <w:top w:w="60" w:type="dxa"/>
              <w:start w:w="80" w:type="dxa"/>
              <w:bottom w:w="60" w:type="dxa"/>
              <w:end w:w="80" w:type="dxa"/>
            </w:tcMar>
          </w:tcPr>
          <w:p>
            <w:r>
              <w:t>Протокол разбиения и статус test</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SciREX</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264 вопроса, 66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182 вопроса, 63 документа</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 test не использовался при разработке</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SciER-384</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train/dev/test; test не использовался при разработке</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SciER-128</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отдельный опыт на тех же official test-документах</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RuSERRC</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 вопросов, 60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100 вопросов, 60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неофициальный holdout; ранее использовался</w:t>
            </w:r>
          </w:p>
        </w:tc>
      </w:tr>
      <w:tr>
        <w:trPr>
          <w:cantSplit/>
        </w:trPr>
        <w:tc>
          <w:tcPr>
            <w:tcW w:type="dxa" w:w="124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SciMDIX</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121 вопрос, 20 документов</w:t>
            </w:r>
          </w:p>
        </w:tc>
        <w:tc>
          <w:tcPr>
            <w:tcW w:type="dxa" w:w="181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28 вопросов, 17 документов</w:t>
            </w:r>
          </w:p>
        </w:tc>
        <w:tc>
          <w:tcPr>
            <w:tcW w:type="dxa" w:w="2551"/>
            <w:vAlign w:val="center"/>
            <w:tcMar>
              <w:top w:w="60" w:type="dxa"/>
              <w:start w:w="80" w:type="dxa"/>
              <w:bottom w:w="60" w:type="dxa"/>
              <w:end w:w="80" w:type="dxa"/>
            </w:tcMar>
          </w:tcPr>
          <w:p>
            <w:pPr>
              <w:spacing w:before="0" w:after="0"/>
            </w:pPr>
            <w:r>
              <w:rPr>
                <w:rFonts w:ascii="Times New Roman" w:hAnsi="Times New Roman" w:eastAsia="Times New Roman"/>
                <w:sz w:val="17"/>
              </w:rPr>
              <w:t>official train/test + internal val; test не использовался</w:t>
            </w:r>
          </w:p>
        </w:tc>
      </w:tr>
    </w:tbl>
    <w:p>
      <w:pPr>
        <w:spacing w:line="240" w:lineRule="auto" w:after="0"/>
        <w:ind w:firstLine="709"/>
        <w:jc w:val="both"/>
      </w:pPr>
      <w:r>
        <w:rPr>
          <w:rFonts w:ascii="Times New Roman" w:hAnsi="Times New Roman" w:eastAsia="Times New Roman"/>
          <w:b w:val="0"/>
          <w:i w:val="0"/>
          <w:sz w:val="24"/>
        </w:rPr>
        <w:t>В межкорпусном эксперименте сопоставлялись базовые и составные алгоритмы. B1 запускал модель извлечения ответа на всех фрагментах; этот вариант проверяет возможность отказаться от предварительного ранжирования. B2 использовал первый фрагмент базового ранжировщика и служил минимальной рабочей конфигурацией. B3 ограничивал чтение K лучшими кандидатами B0, чтобы оценить пользу нескольких контекстов без метамодели. B4b применял внешнюю BGE-модель и контролировал, можно ли получить тот же эффект простой заменой ранжировщика. P2 соответствовал H2, раздельно оценивающему ожидаемый выигрыш и риск ухудшения; P4 добавлял признаки согласованности ответов. Финальная конфигурация принимала P4 только при совпадении выбора ветви до и после повторного обучения. Такой контроль введён из-за нестабильности сложной ветви на малых выборках. Детали построения и развития H2/H3 вынесены в методическую статью автора [15].</w:t>
      </w:r>
    </w:p>
    <w:p>
      <w:pPr>
        <w:spacing w:line="240" w:lineRule="auto" w:after="0"/>
        <w:ind w:firstLine="709"/>
        <w:jc w:val="both"/>
      </w:pPr>
      <w:r>
        <w:rPr>
          <w:rFonts w:ascii="Times New Roman" w:hAnsi="Times New Roman" w:eastAsia="Times New Roman"/>
          <w:b w:val="0"/>
          <w:i w:val="0"/>
          <w:sz w:val="24"/>
        </w:rPr>
        <w:t>Основной показатель качества представлял собой F1 по токенам в диапазоне от 0 до 100. Дополнительно вычислялись точное совпадение, F1 по символам, ROUGE-L и, для русского текста, F1 по леммам. Работа алгоритма локализации характеризовалась долей попаданий в подтверждающий фрагмент на первой позиции и среди K кандидатов, а также частотой сложного отрицательного фрагмента на первой позиции. Парные различия оценивались бутстрепом по документам с 10 000 повторов. Предсказания трёх фиксированных инициализаций предварительно усреднялись на уровне вопроса.</w:t>
      </w:r>
    </w:p>
    <w:p>
      <w:pPr>
        <w:spacing w:line="240" w:lineRule="auto" w:after="0"/>
        <w:ind w:firstLine="709"/>
        <w:jc w:val="both"/>
      </w:pPr>
      <w:r>
        <w:rPr>
          <w:rFonts w:ascii="Times New Roman" w:hAnsi="Times New Roman" w:eastAsia="Times New Roman"/>
          <w:b w:val="0"/>
          <w:i w:val="0"/>
          <w:sz w:val="24"/>
        </w:rPr>
        <w:t>Основная таблица содержит по одной конфигурации каждого корпуса; для SciER выбрана 384/50 как схема, согласованная с англоязычной подготовкой SciREX и обеспечивающая более содержательный контекст для модели извлечения ответа. Показатель «Среднее» равен арифметическому среднему SciREX, SciER-384, RuSERRC и SciMDIX. SciER-128 не входит ни в эту таблицу, ни в её среднее и рассматривается только в отдельном эксперименте чувствительности к размеру фрагмента.</w:t>
      </w:r>
    </w:p>
    <w:p>
      <w:pPr>
        <w:keepNext/>
        <w:spacing w:line="240" w:lineRule="auto" w:after="120" w:before="240"/>
        <w:jc w:val="center"/>
      </w:pPr>
      <w:r>
        <w:rPr>
          <w:rFonts w:ascii="Times New Roman" w:hAnsi="Times New Roman" w:eastAsia="Times New Roman"/>
          <w:b/>
          <w:i w:val="0"/>
          <w:sz w:val="24"/>
        </w:rPr>
        <w:t>Результаты</w:t>
      </w:r>
    </w:p>
    <w:p>
      <w:pPr>
        <w:keepNext/>
        <w:spacing w:line="240" w:lineRule="auto" w:after="0" w:before="120"/>
        <w:jc w:val="left"/>
      </w:pPr>
      <w:r>
        <w:rPr>
          <w:rFonts w:ascii="Times New Roman" w:hAnsi="Times New Roman" w:eastAsia="Times New Roman"/>
          <w:b/>
          <w:i w:val="0"/>
          <w:sz w:val="24"/>
        </w:rPr>
        <w:t>Верификация преобразований и свойства сформированных данных</w:t>
      </w:r>
    </w:p>
    <w:p>
      <w:pPr>
        <w:spacing w:line="240" w:lineRule="auto" w:after="0"/>
        <w:ind w:firstLine="709"/>
        <w:jc w:val="both"/>
      </w:pPr>
      <w:r>
        <w:rPr>
          <w:rFonts w:ascii="Times New Roman" w:hAnsi="Times New Roman" w:eastAsia="Times New Roman"/>
          <w:b w:val="0"/>
          <w:i w:val="0"/>
          <w:sz w:val="24"/>
        </w:rPr>
        <w:t>Прямой пересчёт файлов подготовки показал различную жёсткость фильтра ответоспособности. В SciER-384 в обучение допущено 250 из 268 вопросов (93,3%), в SciER-128 264 (98,5%). Для SciREX доля составила 612 из 955 (64,1%), для RuSERRC 508 из 1492 (34,0%), для SciMDIX 185 из 1001 (18,5%). Низкая доля SciMDIX обусловлена не потерей координат, а тем, что текущая русскоязычная модель извлечения ответа редко воспроизводит официальный аспектный ответ. Исключённые вопросы сохранены в аудиторском слое и не превращены в отрицательные.</w:t>
      </w:r>
    </w:p>
    <w:p>
      <w:pPr>
        <w:spacing w:line="240" w:lineRule="auto" w:after="0"/>
        <w:ind w:firstLine="709"/>
        <w:jc w:val="both"/>
      </w:pPr>
      <w:r>
        <w:rPr>
          <w:rFonts w:ascii="Times New Roman" w:hAnsi="Times New Roman" w:eastAsia="Times New Roman"/>
          <w:b w:val="0"/>
          <w:i w:val="0"/>
          <w:sz w:val="24"/>
        </w:rPr>
        <w:t>Внутренняя проверка охватила 78 329 эталонных спанов; каждый спан точно совпал с соответствующей подстрокой фрагмента. Ни один «hard_negative» или «easy_negative» не содержал официального подтверждающего спана. Вместе с тем автоматическая проверка не равна ручной оценке семантической полноты: неразмеченное альтернативное подтверждение возможно. Для снижения этого риска 66,9% близкого отрицательного пула SciREX, 68,2% SciER-384, 81,0% SciER-128, 37,4% RuSERRC и 39,2% SciMDIX было переведено из потенциальных сложных отрицательных в «false_negative_candidate».</w:t>
      </w:r>
    </w:p>
    <w:p>
      <w:pPr>
        <w:spacing w:line="240" w:lineRule="auto" w:after="0"/>
        <w:ind/>
        <w:jc w:val="center"/>
      </w:pPr>
      <w:r>
        <w:rPr>
          <w:rFonts w:ascii="Times New Roman" w:hAnsi="Times New Roman" w:eastAsia="Times New Roman"/>
          <w:sz w:val="24"/>
        </w:rPr>
      </w:r>
      <w:r>
        <w:drawing>
          <wp:inline xmlns:a="http://schemas.openxmlformats.org/drawingml/2006/main" xmlns:pic="http://schemas.openxmlformats.org/drawingml/2006/picture">
            <wp:extent cx="5120640" cy="1834847"/>
            <wp:docPr id="1" name="Picture 1"/>
            <wp:cNvGraphicFramePr>
              <a:graphicFrameLocks noChangeAspect="1"/>
            </wp:cNvGraphicFramePr>
            <a:graphic>
              <a:graphicData uri="http://schemas.openxmlformats.org/drawingml/2006/picture">
                <pic:pic>
                  <pic:nvPicPr>
                    <pic:cNvPr id="0" name="data_preparation_statistics.png"/>
                    <pic:cNvPicPr/>
                  </pic:nvPicPr>
                  <pic:blipFill>
                    <a:blip r:embed="rId21"/>
                    <a:stretch>
                      <a:fillRect/>
                    </a:stretch>
                  </pic:blipFill>
                  <pic:spPr>
                    <a:xfrm>
                      <a:off x="0" y="0"/>
                      <a:ext cx="5120640" cy="1834847"/>
                    </a:xfrm>
                    <a:prstGeom prst="rect"/>
                  </pic:spPr>
                </pic:pic>
              </a:graphicData>
            </a:graphic>
          </wp:inline>
        </w:drawing>
      </w:r>
    </w:p>
    <w:p>
      <w:pPr>
        <w:keepNext/>
        <w:spacing w:line="240" w:lineRule="auto" w:after="0" w:before="240"/>
        <w:jc w:val="center"/>
      </w:pPr>
      <w:r>
        <w:rPr>
          <w:rFonts w:ascii="Times New Roman" w:hAnsi="Times New Roman" w:eastAsia="Times New Roman"/>
          <w:sz w:val="24"/>
        </w:rPr>
        <w:t>Рисунок 1 - Доля допущенных вопросов и состав разметки фрагментов</w:t>
      </w:r>
    </w:p>
    <w:p>
      <w:pPr>
        <w:keepNext/>
        <w:spacing w:line="240" w:lineRule="auto" w:after="120"/>
        <w:jc w:val="center"/>
      </w:pPr>
      <w:r>
        <w:rPr>
          <w:rFonts w:ascii="Times New Roman" w:hAnsi="Times New Roman" w:eastAsia="Times New Roman"/>
          <w:sz w:val="24"/>
        </w:rPr>
        <w:t>Figure 1 - Admitted-question rate and fragment-label composition</w:t>
      </w:r>
    </w:p>
    <w:p>
      <w:pPr>
        <w:keepNext/>
        <w:spacing w:line="240" w:lineRule="auto" w:after="0" w:before="240"/>
        <w:jc w:val="both"/>
      </w:pPr>
      <w:r>
        <w:rPr>
          <w:rFonts w:ascii="Times New Roman" w:hAnsi="Times New Roman" w:eastAsia="Times New Roman"/>
          <w:sz w:val="24"/>
        </w:rPr>
        <w:t>Таблица 6 - Отдельный эксперимент с параметрами сегментации SciER</w:t>
      </w:r>
    </w:p>
    <w:p>
      <w:pPr>
        <w:keepNext/>
        <w:spacing w:line="240" w:lineRule="auto" w:after="120"/>
        <w:jc w:val="both"/>
      </w:pPr>
      <w:r>
        <w:rPr>
          <w:rFonts w:ascii="Times New Roman" w:hAnsi="Times New Roman" w:eastAsia="Times New Roman"/>
          <w:sz w:val="24"/>
        </w:rPr>
        <w:t>Table 6 - Separate SciER segmentation experiment</w:t>
      </w:r>
    </w:p>
    <w:tbl>
      <w:tblPr>
        <w:tblW w:type="auto" w:w="0"/>
        <w:tblLayout w:type="autofit"/>
        <w:tblLook w:firstColumn="1" w:firstRow="1" w:lastColumn="0" w:lastRow="0" w:noHBand="0" w:noVBand="1" w:val="04A0"/>
      </w:tblPr>
      <w:tblGrid>
        <w:gridCol w:w="2268"/>
        <w:gridCol w:w="2268"/>
        <w:gridCol w:w="2268"/>
        <w:gridCol w:w="2268"/>
      </w:tblGrid>
      <w:tr>
        <w:trPr>
          <w:tblHeader/>
          <w:cantSplit/>
        </w:trPr>
        <w:tc>
          <w:tcPr>
            <w:tcW w:type="dxa" w:w="2268"/>
          </w:tcPr>
          <w:p>
            <w:pPr>
              <w:spacing w:before="0" w:after="0"/>
            </w:pPr>
            <w:r>
              <w:rPr>
                <w:rFonts w:ascii="Times New Roman" w:hAnsi="Times New Roman" w:eastAsia="Times New Roman"/>
                <w:b/>
                <w:sz w:val="17"/>
              </w:rPr>
              <w:t>Система</w:t>
            </w:r>
          </w:p>
        </w:tc>
        <w:tc>
          <w:tcPr>
            <w:tcW w:type="dxa" w:w="2268"/>
          </w:tcPr>
          <w:p>
            <w:pPr>
              <w:spacing w:before="0" w:after="0"/>
            </w:pPr>
            <w:r>
              <w:rPr>
                <w:rFonts w:ascii="Times New Roman" w:hAnsi="Times New Roman" w:eastAsia="Times New Roman"/>
                <w:b/>
                <w:sz w:val="17"/>
              </w:rPr>
              <w:t>SciER-384/50</w:t>
            </w:r>
          </w:p>
        </w:tc>
        <w:tc>
          <w:tcPr>
            <w:tcW w:type="dxa" w:w="2268"/>
          </w:tcPr>
          <w:p>
            <w:pPr>
              <w:spacing w:before="0" w:after="0"/>
            </w:pPr>
            <w:r>
              <w:rPr>
                <w:rFonts w:ascii="Times New Roman" w:hAnsi="Times New Roman" w:eastAsia="Times New Roman"/>
                <w:b/>
                <w:sz w:val="17"/>
              </w:rPr>
              <w:t>SciER-128/24</w:t>
            </w:r>
          </w:p>
        </w:tc>
        <w:tc>
          <w:tcPr>
            <w:tcW w:type="dxa" w:w="2268"/>
          </w:tcPr>
          <w:p>
            <w:pPr>
              <w:spacing w:before="0" w:after="0"/>
            </w:pPr>
            <w:r>
              <w:rPr>
                <w:rFonts w:ascii="Times New Roman" w:hAnsi="Times New Roman" w:eastAsia="Times New Roman"/>
                <w:b/>
                <w:sz w:val="17"/>
              </w:rPr>
              <w:t>Разность 128 - 384</w:t>
            </w:r>
          </w:p>
        </w:tc>
      </w:tr>
      <w:tr>
        <w:trPr>
          <w:cantSplit/>
        </w:trPr>
        <w:tc>
          <w:tcPr>
            <w:tcW w:type="dxa" w:w="2268"/>
          </w:tcPr>
          <w:p>
            <w:pPr>
              <w:spacing w:before="0" w:after="0"/>
            </w:pPr>
            <w:r>
              <w:rPr>
                <w:rFonts w:ascii="Times New Roman" w:hAnsi="Times New Roman" w:eastAsia="Times New Roman"/>
                <w:b w:val="0"/>
                <w:sz w:val="17"/>
              </w:rPr>
              <w:t>B1</w:t>
            </w:r>
          </w:p>
        </w:tc>
        <w:tc>
          <w:tcPr>
            <w:tcW w:type="dxa" w:w="2268"/>
          </w:tcPr>
          <w:p>
            <w:pPr>
              <w:spacing w:before="0" w:after="0"/>
            </w:pPr>
            <w:r>
              <w:rPr>
                <w:rFonts w:ascii="Times New Roman" w:hAnsi="Times New Roman" w:eastAsia="Times New Roman"/>
                <w:b w:val="0"/>
                <w:sz w:val="17"/>
              </w:rPr>
              <w:t>56,0738</w:t>
            </w:r>
          </w:p>
        </w:tc>
        <w:tc>
          <w:tcPr>
            <w:tcW w:type="dxa" w:w="2268"/>
          </w:tcPr>
          <w:p>
            <w:pPr>
              <w:spacing w:before="0" w:after="0"/>
            </w:pPr>
            <w:r>
              <w:rPr>
                <w:rFonts w:ascii="Times New Roman" w:hAnsi="Times New Roman" w:eastAsia="Times New Roman"/>
                <w:b w:val="0"/>
                <w:sz w:val="17"/>
              </w:rPr>
              <w:t>65,4365</w:t>
            </w:r>
          </w:p>
        </w:tc>
        <w:tc>
          <w:tcPr>
            <w:tcW w:type="dxa" w:w="2268"/>
          </w:tcPr>
          <w:p>
            <w:pPr>
              <w:spacing w:before="0" w:after="0"/>
            </w:pPr>
            <w:r>
              <w:rPr>
                <w:rFonts w:ascii="Times New Roman" w:hAnsi="Times New Roman" w:eastAsia="Times New Roman"/>
                <w:b w:val="0"/>
                <w:sz w:val="17"/>
              </w:rPr>
              <w:t>+9,3627</w:t>
            </w:r>
          </w:p>
        </w:tc>
      </w:tr>
      <w:tr>
        <w:trPr>
          <w:cantSplit/>
        </w:trPr>
        <w:tc>
          <w:tcPr>
            <w:tcW w:type="dxa" w:w="2268"/>
          </w:tcPr>
          <w:p>
            <w:pPr>
              <w:spacing w:before="0" w:after="0"/>
            </w:pPr>
            <w:r>
              <w:rPr>
                <w:rFonts w:ascii="Times New Roman" w:hAnsi="Times New Roman" w:eastAsia="Times New Roman"/>
                <w:b w:val="0"/>
                <w:sz w:val="17"/>
              </w:rPr>
              <w:t>B2</w:t>
            </w:r>
          </w:p>
        </w:tc>
        <w:tc>
          <w:tcPr>
            <w:tcW w:type="dxa" w:w="2268"/>
          </w:tcPr>
          <w:p>
            <w:pPr>
              <w:spacing w:before="0" w:after="0"/>
            </w:pPr>
            <w:r>
              <w:rPr>
                <w:rFonts w:ascii="Times New Roman" w:hAnsi="Times New Roman" w:eastAsia="Times New Roman"/>
                <w:b w:val="0"/>
                <w:sz w:val="17"/>
              </w:rPr>
              <w:t>63,6773</w:t>
            </w:r>
          </w:p>
        </w:tc>
        <w:tc>
          <w:tcPr>
            <w:tcW w:type="dxa" w:w="2268"/>
          </w:tcPr>
          <w:p>
            <w:pPr>
              <w:spacing w:before="0" w:after="0"/>
            </w:pPr>
            <w:r>
              <w:rPr>
                <w:rFonts w:ascii="Times New Roman" w:hAnsi="Times New Roman" w:eastAsia="Times New Roman"/>
                <w:b w:val="0"/>
                <w:sz w:val="17"/>
              </w:rPr>
              <w:t>69,3381</w:t>
            </w:r>
          </w:p>
        </w:tc>
        <w:tc>
          <w:tcPr>
            <w:tcW w:type="dxa" w:w="2268"/>
          </w:tcPr>
          <w:p>
            <w:pPr>
              <w:spacing w:before="0" w:after="0"/>
            </w:pPr>
            <w:r>
              <w:rPr>
                <w:rFonts w:ascii="Times New Roman" w:hAnsi="Times New Roman" w:eastAsia="Times New Roman"/>
                <w:b w:val="0"/>
                <w:sz w:val="17"/>
              </w:rPr>
              <w:t>+5,6608</w:t>
            </w:r>
          </w:p>
        </w:tc>
      </w:tr>
      <w:tr>
        <w:trPr>
          <w:cantSplit/>
        </w:trPr>
        <w:tc>
          <w:tcPr>
            <w:tcW w:type="dxa" w:w="2268"/>
          </w:tcPr>
          <w:p>
            <w:pPr>
              <w:spacing w:before="0" w:after="0"/>
            </w:pPr>
            <w:r>
              <w:rPr>
                <w:rFonts w:ascii="Times New Roman" w:hAnsi="Times New Roman" w:eastAsia="Times New Roman"/>
                <w:b w:val="0"/>
                <w:sz w:val="17"/>
              </w:rPr>
              <w:t>B3</w:t>
            </w:r>
          </w:p>
        </w:tc>
        <w:tc>
          <w:tcPr>
            <w:tcW w:type="dxa" w:w="2268"/>
          </w:tcPr>
          <w:p>
            <w:pPr>
              <w:spacing w:before="0" w:after="0"/>
            </w:pPr>
            <w:r>
              <w:rPr>
                <w:rFonts w:ascii="Times New Roman" w:hAnsi="Times New Roman" w:eastAsia="Times New Roman"/>
                <w:b w:val="0"/>
                <w:sz w:val="17"/>
              </w:rPr>
              <w:t>63,2028</w:t>
            </w:r>
          </w:p>
        </w:tc>
        <w:tc>
          <w:tcPr>
            <w:tcW w:type="dxa" w:w="2268"/>
          </w:tcPr>
          <w:p>
            <w:pPr>
              <w:spacing w:before="0" w:after="0"/>
            </w:pPr>
            <w:r>
              <w:rPr>
                <w:rFonts w:ascii="Times New Roman" w:hAnsi="Times New Roman" w:eastAsia="Times New Roman"/>
                <w:b w:val="0"/>
                <w:sz w:val="17"/>
              </w:rPr>
              <w:t>73,1368</w:t>
            </w:r>
          </w:p>
        </w:tc>
        <w:tc>
          <w:tcPr>
            <w:tcW w:type="dxa" w:w="2268"/>
          </w:tcPr>
          <w:p>
            <w:pPr>
              <w:spacing w:before="0" w:after="0"/>
            </w:pPr>
            <w:r>
              <w:rPr>
                <w:rFonts w:ascii="Times New Roman" w:hAnsi="Times New Roman" w:eastAsia="Times New Roman"/>
                <w:b w:val="0"/>
                <w:sz w:val="17"/>
              </w:rPr>
              <w:t>+9,9340</w:t>
            </w:r>
          </w:p>
        </w:tc>
      </w:tr>
      <w:tr>
        <w:trPr>
          <w:cantSplit/>
        </w:trPr>
        <w:tc>
          <w:tcPr>
            <w:tcW w:type="dxa" w:w="2268"/>
          </w:tcPr>
          <w:p>
            <w:pPr>
              <w:spacing w:before="0" w:after="0"/>
            </w:pPr>
            <w:r>
              <w:rPr>
                <w:rFonts w:ascii="Times New Roman" w:hAnsi="Times New Roman" w:eastAsia="Times New Roman"/>
                <w:b w:val="0"/>
                <w:sz w:val="17"/>
              </w:rPr>
              <w:t>B4b</w:t>
            </w:r>
          </w:p>
        </w:tc>
        <w:tc>
          <w:tcPr>
            <w:tcW w:type="dxa" w:w="2268"/>
          </w:tcPr>
          <w:p>
            <w:pPr>
              <w:spacing w:before="0" w:after="0"/>
            </w:pPr>
            <w:r>
              <w:rPr>
                <w:rFonts w:ascii="Times New Roman" w:hAnsi="Times New Roman" w:eastAsia="Times New Roman"/>
                <w:b w:val="0"/>
                <w:sz w:val="17"/>
              </w:rPr>
              <w:t>60,8589</w:t>
            </w:r>
          </w:p>
        </w:tc>
        <w:tc>
          <w:tcPr>
            <w:tcW w:type="dxa" w:w="2268"/>
          </w:tcPr>
          <w:p>
            <w:pPr>
              <w:spacing w:before="0" w:after="0"/>
            </w:pPr>
            <w:r>
              <w:rPr>
                <w:rFonts w:ascii="Times New Roman" w:hAnsi="Times New Roman" w:eastAsia="Times New Roman"/>
                <w:b w:val="0"/>
                <w:sz w:val="17"/>
              </w:rPr>
              <w:t>56,1772</w:t>
            </w:r>
          </w:p>
        </w:tc>
        <w:tc>
          <w:tcPr>
            <w:tcW w:type="dxa" w:w="2268"/>
          </w:tcPr>
          <w:p>
            <w:pPr>
              <w:spacing w:before="0" w:after="0"/>
            </w:pPr>
            <w:r>
              <w:rPr>
                <w:rFonts w:ascii="Times New Roman" w:hAnsi="Times New Roman" w:eastAsia="Times New Roman"/>
                <w:b w:val="0"/>
                <w:sz w:val="17"/>
              </w:rPr>
              <w:t>−4,6817</w:t>
            </w:r>
          </w:p>
        </w:tc>
      </w:tr>
      <w:tr>
        <w:trPr>
          <w:cantSplit/>
        </w:trPr>
        <w:tc>
          <w:tcPr>
            <w:tcW w:type="dxa" w:w="2268"/>
          </w:tcPr>
          <w:p>
            <w:pPr>
              <w:spacing w:before="0" w:after="0"/>
            </w:pPr>
            <w:r>
              <w:rPr>
                <w:rFonts w:ascii="Times New Roman" w:hAnsi="Times New Roman" w:eastAsia="Times New Roman"/>
                <w:b w:val="0"/>
                <w:sz w:val="17"/>
              </w:rPr>
              <w:t>P2 / H2</w:t>
            </w:r>
          </w:p>
        </w:tc>
        <w:tc>
          <w:tcPr>
            <w:tcW w:type="dxa" w:w="2268"/>
          </w:tcPr>
          <w:p>
            <w:pPr>
              <w:spacing w:before="0" w:after="0"/>
            </w:pPr>
            <w:r>
              <w:rPr>
                <w:rFonts w:ascii="Times New Roman" w:hAnsi="Times New Roman" w:eastAsia="Times New Roman"/>
                <w:b w:val="0"/>
                <w:sz w:val="17"/>
              </w:rPr>
              <w:t>65,8721</w:t>
            </w:r>
          </w:p>
        </w:tc>
        <w:tc>
          <w:tcPr>
            <w:tcW w:type="dxa" w:w="2268"/>
          </w:tcPr>
          <w:p>
            <w:pPr>
              <w:spacing w:before="0" w:after="0"/>
            </w:pPr>
            <w:r>
              <w:rPr>
                <w:rFonts w:ascii="Times New Roman" w:hAnsi="Times New Roman" w:eastAsia="Times New Roman"/>
                <w:b w:val="0"/>
                <w:sz w:val="17"/>
              </w:rPr>
              <w:t>70,5551</w:t>
            </w:r>
          </w:p>
        </w:tc>
        <w:tc>
          <w:tcPr>
            <w:tcW w:type="dxa" w:w="2268"/>
          </w:tcPr>
          <w:p>
            <w:pPr>
              <w:spacing w:before="0" w:after="0"/>
            </w:pPr>
            <w:r>
              <w:rPr>
                <w:rFonts w:ascii="Times New Roman" w:hAnsi="Times New Roman" w:eastAsia="Times New Roman"/>
                <w:b w:val="0"/>
                <w:sz w:val="17"/>
              </w:rPr>
              <w:t>+4,6830</w:t>
            </w:r>
          </w:p>
        </w:tc>
      </w:tr>
      <w:tr>
        <w:trPr>
          <w:cantSplit/>
        </w:trPr>
        <w:tc>
          <w:tcPr>
            <w:tcW w:type="dxa" w:w="2268"/>
          </w:tcPr>
          <w:p>
            <w:pPr>
              <w:spacing w:before="0" w:after="0"/>
            </w:pPr>
            <w:r>
              <w:rPr>
                <w:rFonts w:ascii="Times New Roman" w:hAnsi="Times New Roman" w:eastAsia="Times New Roman"/>
                <w:b w:val="0"/>
                <w:sz w:val="17"/>
              </w:rPr>
              <w:t>P4 / H3</w:t>
            </w:r>
          </w:p>
        </w:tc>
        <w:tc>
          <w:tcPr>
            <w:tcW w:type="dxa" w:w="2268"/>
          </w:tcPr>
          <w:p>
            <w:pPr>
              <w:spacing w:before="0" w:after="0"/>
            </w:pPr>
            <w:r>
              <w:rPr>
                <w:rFonts w:ascii="Times New Roman" w:hAnsi="Times New Roman" w:eastAsia="Times New Roman"/>
                <w:b w:val="0"/>
                <w:sz w:val="17"/>
              </w:rPr>
              <w:t>72,0436</w:t>
            </w:r>
          </w:p>
        </w:tc>
        <w:tc>
          <w:tcPr>
            <w:tcW w:type="dxa" w:w="2268"/>
          </w:tcPr>
          <w:p>
            <w:pPr>
              <w:spacing w:before="0" w:after="0"/>
            </w:pPr>
            <w:r>
              <w:rPr>
                <w:rFonts w:ascii="Times New Roman" w:hAnsi="Times New Roman" w:eastAsia="Times New Roman"/>
                <w:b w:val="0"/>
                <w:sz w:val="17"/>
              </w:rPr>
              <w:t>72,7105</w:t>
            </w:r>
          </w:p>
        </w:tc>
        <w:tc>
          <w:tcPr>
            <w:tcW w:type="dxa" w:w="2268"/>
          </w:tcPr>
          <w:p>
            <w:pPr>
              <w:spacing w:before="0" w:after="0"/>
            </w:pPr>
            <w:r>
              <w:rPr>
                <w:rFonts w:ascii="Times New Roman" w:hAnsi="Times New Roman" w:eastAsia="Times New Roman"/>
                <w:b w:val="0"/>
                <w:sz w:val="17"/>
              </w:rPr>
              <w:t>+0,6669</w:t>
            </w:r>
          </w:p>
        </w:tc>
      </w:tr>
      <w:tr>
        <w:trPr>
          <w:cantSplit/>
        </w:trPr>
        <w:tc>
          <w:tcPr>
            <w:tcW w:type="dxa" w:w="2268"/>
          </w:tcPr>
          <w:p>
            <w:pPr>
              <w:spacing w:before="0" w:after="0"/>
            </w:pPr>
            <w:r>
              <w:rPr>
                <w:rFonts w:ascii="Times New Roman" w:hAnsi="Times New Roman" w:eastAsia="Times New Roman"/>
                <w:b w:val="0"/>
                <w:sz w:val="17"/>
              </w:rPr>
              <w:t>Итоговая</w:t>
            </w:r>
          </w:p>
        </w:tc>
        <w:tc>
          <w:tcPr>
            <w:tcW w:type="dxa" w:w="2268"/>
          </w:tcPr>
          <w:p>
            <w:pPr>
              <w:spacing w:before="0" w:after="0"/>
            </w:pPr>
            <w:r>
              <w:rPr>
                <w:rFonts w:ascii="Times New Roman" w:hAnsi="Times New Roman" w:eastAsia="Times New Roman"/>
                <w:b w:val="0"/>
                <w:sz w:val="17"/>
              </w:rPr>
              <w:t>72,0436</w:t>
            </w:r>
          </w:p>
        </w:tc>
        <w:tc>
          <w:tcPr>
            <w:tcW w:type="dxa" w:w="2268"/>
          </w:tcPr>
          <w:p>
            <w:pPr>
              <w:spacing w:before="0" w:after="0"/>
            </w:pPr>
            <w:r>
              <w:rPr>
                <w:rFonts w:ascii="Times New Roman" w:hAnsi="Times New Roman" w:eastAsia="Times New Roman"/>
                <w:b w:val="0"/>
                <w:sz w:val="17"/>
              </w:rPr>
              <w:t>72,7105</w:t>
            </w:r>
          </w:p>
        </w:tc>
        <w:tc>
          <w:tcPr>
            <w:tcW w:type="dxa" w:w="2268"/>
          </w:tcPr>
          <w:p>
            <w:pPr>
              <w:spacing w:before="0" w:after="0"/>
            </w:pPr>
            <w:r>
              <w:rPr>
                <w:rFonts w:ascii="Times New Roman" w:hAnsi="Times New Roman" w:eastAsia="Times New Roman"/>
                <w:b w:val="0"/>
                <w:sz w:val="17"/>
              </w:rPr>
              <w:t>+0,6669</w:t>
            </w:r>
          </w:p>
        </w:tc>
      </w:tr>
    </w:tbl>
    <w:p>
      <w:pPr>
        <w:spacing w:line="240" w:lineRule="auto" w:after="0"/>
        <w:ind w:firstLine="709"/>
        <w:jc w:val="both"/>
      </w:pPr>
      <w:r>
        <w:rPr>
          <w:rFonts w:ascii="Times New Roman" w:hAnsi="Times New Roman" w:eastAsia="Times New Roman"/>
          <w:sz w:val="24"/>
        </w:rPr>
        <w:t>Положительная разность означает преимущество коротких фрагментов. Эффект не является универсальным: пять систем улучшились при 128/24, B4b ухудшилась, а P4 изменилась менее чем на один пункт. Поэтому 128/24 рассматривается как анализ чувствительности, а не как дополнительный независимый корпус.</w:t>
      </w:r>
    </w:p>
    <w:p>
      <w:pPr>
        <w:spacing w:line="240" w:lineRule="auto" w:after="0"/>
        <w:ind w:firstLine="709"/>
        <w:jc w:val="both"/>
      </w:pPr>
      <w:r>
        <w:rPr>
          <w:rFonts w:ascii="Times New Roman" w:hAnsi="Times New Roman" w:eastAsia="Times New Roman"/>
          <w:b w:val="0"/>
          <w:i w:val="0"/>
          <w:sz w:val="24"/>
        </w:rPr>
        <w:t>В итоговой ответоспособной части RuSERRC находились 672 положительных, 623 сложных отрицательных и 26 простых отрицательных пар. Ещё 218 официально подтверждающих фрагментов без успешного ответа модели извлечения ответа, 372 вероятных ложноотрицательных и 144 примера класса «question_sensitive» оставлены в карантине. Небольшое число простых отрицательных примеров связано с малым числом фрагментов в коротких документах и с выбором до пяти близких кандидатов для каждого вопроса.</w:t>
      </w:r>
    </w:p>
    <w:p>
      <w:pPr>
        <w:keepNext/>
        <w:spacing w:line="240" w:lineRule="auto" w:after="0" w:before="120"/>
        <w:jc w:val="left"/>
      </w:pPr>
      <w:r>
        <w:rPr>
          <w:rFonts w:ascii="Times New Roman" w:hAnsi="Times New Roman" w:eastAsia="Times New Roman"/>
          <w:b/>
          <w:i w:val="0"/>
          <w:sz w:val="24"/>
        </w:rPr>
        <w:t>Сравнительная оценка алгоритмов</w:t>
      </w:r>
    </w:p>
    <w:p>
      <w:pPr>
        <w:keepNext/>
        <w:spacing w:line="240" w:lineRule="auto" w:after="0" w:before="240"/>
        <w:jc w:val="both"/>
      </w:pPr>
      <w:r>
        <w:rPr>
          <w:rFonts w:ascii="Times New Roman" w:hAnsi="Times New Roman" w:eastAsia="Times New Roman"/>
          <w:b w:val="0"/>
          <w:i w:val="0"/>
          <w:sz w:val="24"/>
        </w:rPr>
        <w:t>Таблица 7 - F1 по токенам в основном межкорпусном сравнении</w:t>
      </w:r>
    </w:p>
    <w:p>
      <w:pPr>
        <w:keepNext/>
        <w:spacing w:line="240" w:lineRule="auto" w:after="120"/>
        <w:jc w:val="both"/>
      </w:pPr>
      <w:r>
        <w:rPr>
          <w:rFonts w:ascii="Times New Roman" w:hAnsi="Times New Roman" w:eastAsia="Times New Roman"/>
          <w:b w:val="0"/>
          <w:i w:val="0"/>
          <w:sz w:val="24"/>
          <w:lang w:val="en-US"/>
        </w:rPr>
        <w:t>Table 7 - Token-level F1 in the main cross-corpus comparison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296"/>
        <w:gridCol w:w="1296"/>
        <w:gridCol w:w="1296"/>
        <w:gridCol w:w="1296"/>
        <w:gridCol w:w="1296"/>
      </w:tblGrid>
      <w:tr>
        <w:trPr>
          <w:tblHeader w:val="true"/>
          <w:cantSplit/>
        </w:trPr>
        <w:tc>
          <w:tcPr>
            <w:tcW w:type="dxa" w:w="141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Система</w:t>
            </w:r>
          </w:p>
        </w:tc>
        <w:tc>
          <w:tcPr>
            <w:tcW w:type="dxa" w:w="964"/>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SciREX</w:t>
            </w:r>
          </w:p>
        </w:tc>
        <w:tc>
          <w:tcPr>
            <w:tcW w:type="dxa" w:w="1077"/>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SciER-384</w:t>
            </w:r>
          </w:p>
        </w:tc>
        <w:tc>
          <w:tcPr>
            <w:tcW w:type="dxa" w:w="1020"/>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RuSERRC</w:t>
            </w:r>
          </w:p>
        </w:tc>
        <w:tc>
          <w:tcPr>
            <w:tcW w:type="dxa" w:w="1020"/>
            <w:vAlign w:val="center"/>
            <w:shd w:fill="D9EAF7"/>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SciMDIX</w:t>
            </w:r>
          </w:p>
        </w:tc>
        <w:tc>
          <w:tcPr>
            <w:tcW w:type="dxa" w:w="1077"/>
            <w:vAlign w:val="center"/>
            <w:shd w:fill="D9EAF7"/>
            <w:tcMar>
              <w:top w:w="60" w:type="dxa"/>
              <w:start w:w="80" w:type="dxa"/>
              <w:bottom w:w="60" w:type="dxa"/>
              <w:end w:w="80" w:type="dxa"/>
            </w:tcMar>
          </w:tcPr>
          <w:p>
            <w:pPr>
              <w:spacing w:before="0" w:after="0"/>
            </w:pPr>
            <w:r>
              <w:rPr>
                <w:rFonts w:ascii="Times New Roman" w:hAnsi="Times New Roman" w:eastAsia="Times New Roman"/>
                <w:b/>
                <w:sz w:val="17"/>
              </w:rPr>
              <w:t>Среднее</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B1</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14,7732</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56,0738</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56,5473</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33,2485</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40,1607</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B2</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24,0979</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63,6773</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65,6714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52,6723</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51,5297</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B3</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19,0955</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63,2028</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58,2139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38,7216</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44,8085</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B4b</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18,4645</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60,8589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56,6114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36,8576</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43,1981</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P2 / H2</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23,8234</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65,8721</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65,9369</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62,8274</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54,6150</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val="0"/>
                <w:i w:val="0"/>
                <w:sz w:val="18"/>
              </w:rPr>
              <w:t>P4 / H3</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26,0253</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72,0436</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66,2114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val="0"/>
                <w:i w:val="0"/>
                <w:sz w:val="18"/>
              </w:rPr>
              <w:t>59,2560</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55,8841</w:t>
            </w:r>
          </w:p>
        </w:tc>
      </w:tr>
      <w:tr>
        <w:trPr>
          <w:cantSplit/>
        </w:trPr>
        <w:tc>
          <w:tcPr>
            <w:tcW w:type="dxa" w:w="1417"/>
            <w:vAlign w:val="center"/>
            <w:tcMar>
              <w:top w:w="60" w:type="dxa"/>
              <w:start w:w="80" w:type="dxa"/>
              <w:bottom w:w="60" w:type="dxa"/>
              <w:end w:w="80" w:type="dxa"/>
            </w:tcMar>
          </w:tcPr>
          <w:p>
            <w:pPr>
              <w:spacing w:after="0" w:line="240" w:lineRule="auto" w:before="0"/>
              <w:jc w:val="left"/>
            </w:pPr>
            <w:r>
              <w:rPr>
                <w:rFonts w:ascii="Times New Roman" w:hAnsi="Times New Roman" w:eastAsia="Times New Roman"/>
                <w:b/>
                <w:i w:val="0"/>
                <w:sz w:val="18"/>
              </w:rPr>
              <w:t>Итоговая</w:t>
            </w:r>
          </w:p>
        </w:tc>
        <w:tc>
          <w:tcPr>
            <w:tcW w:type="dxa" w:w="964"/>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26,0253</w:t>
            </w:r>
          </w:p>
        </w:tc>
        <w:tc>
          <w:tcPr>
            <w:tcW w:type="dxa" w:w="1077"/>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72,0436</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66,2114</w:t>
            </w:r>
          </w:p>
        </w:tc>
        <w:tc>
          <w:tcPr>
            <w:tcW w:type="dxa" w:w="1020"/>
            <w:vAlign w:val="center"/>
            <w:tcMar>
              <w:top w:w="60" w:type="dxa"/>
              <w:start w:w="80" w:type="dxa"/>
              <w:bottom w:w="60" w:type="dxa"/>
              <w:end w:w="80" w:type="dxa"/>
            </w:tcMar>
          </w:tcPr>
          <w:p>
            <w:pPr>
              <w:spacing w:after="0" w:line="240" w:lineRule="auto" w:before="0"/>
              <w:jc w:val="center"/>
            </w:pPr>
            <w:r>
              <w:rPr>
                <w:rFonts w:ascii="Times New Roman" w:hAnsi="Times New Roman" w:eastAsia="Times New Roman"/>
                <w:b/>
                <w:i w:val="0"/>
                <w:sz w:val="18"/>
              </w:rPr>
              <w:t>62,8274</w:t>
            </w:r>
          </w:p>
        </w:tc>
        <w:tc>
          <w:tcPr>
            <w:tcW w:type="dxa" w:w="1077"/>
            <w:vAlign w:val="center"/>
            <w:tcMar>
              <w:top w:w="60" w:type="dxa"/>
              <w:start w:w="80" w:type="dxa"/>
              <w:bottom w:w="60" w:type="dxa"/>
              <w:end w:w="80" w:type="dxa"/>
            </w:tcMar>
          </w:tcPr>
          <w:p>
            <w:pPr>
              <w:spacing w:before="0" w:after="0"/>
            </w:pPr>
            <w:r>
              <w:rPr>
                <w:rFonts w:ascii="Times New Roman" w:hAnsi="Times New Roman" w:eastAsia="Times New Roman"/>
                <w:sz w:val="17"/>
              </w:rPr>
              <w:t>56,7769</w:t>
            </w:r>
          </w:p>
        </w:tc>
      </w:tr>
    </w:tbl>
    <w:p>
      <w:pPr>
        <w:spacing w:line="240" w:lineRule="auto" w:after="0"/>
        <w:ind w:firstLine="709"/>
        <w:jc w:val="both"/>
      </w:pPr>
      <w:r>
        <w:rPr>
          <w:rFonts w:ascii="Times New Roman" w:hAnsi="Times New Roman" w:eastAsia="Times New Roman"/>
          <w:b w:val="0"/>
          <w:i w:val="0"/>
          <w:sz w:val="24"/>
        </w:rPr>
        <w:t>Межкорпусное сравнение использовалось как функциональная проверка подготовленных данных. Финальная система получила среднее 56,7769 по SciREX, SciER-384, RuSERRC и SciMDIX; SciER-128 рассматривалась отдельно как анализ чувствительности к сегментации. Подробная разработка H2/H3 и их абляции приведена в методической статье автора [15].</w:t>
      </w:r>
    </w:p>
    <w:p>
      <w:pPr>
        <w:spacing w:line="240" w:lineRule="auto" w:after="0"/>
        <w:ind w:firstLine="709"/>
        <w:jc w:val="both"/>
      </w:pPr>
      <w:r>
        <w:rPr>
          <w:rFonts w:ascii="Times New Roman" w:hAnsi="Times New Roman" w:eastAsia="Times New Roman"/>
          <w:b w:val="0"/>
          <w:i w:val="0"/>
          <w:sz w:val="24"/>
        </w:rPr>
        <w:t>После исключения SciER-128 из основной совокупности P2 превосходил B1 на 14,4543 пункта F1; 95%-й документно-группированный бутстреп-интервал составил [6,8197; 21,3549]. Разность с B3 равна 9,8065 [1,9178; 16,7964], а с внешней BGE-моделью B4b 11,4169 [3,1274; 18,6236]. Для B2 получена разность 3,0852 [−0,8865; 7,1925], поэтому превосходство над сильным базовым top-1 не подтверждено. Пересчёт использует те же вопросные предсказания и 10 000 бутстреп-повторов; изменён только заранее описанный набор четырёх конфигураций.</w:t>
      </w:r>
    </w:p>
    <w:p>
      <w:pPr>
        <w:spacing w:line="240" w:lineRule="auto" w:after="0"/>
        <w:ind w:firstLine="709"/>
        <w:jc w:val="both"/>
      </w:pPr>
      <w:r>
        <w:rPr>
          <w:rFonts w:ascii="Times New Roman" w:hAnsi="Times New Roman" w:eastAsia="Times New Roman"/>
          <w:b w:val="0"/>
          <w:i w:val="0"/>
          <w:sz w:val="24"/>
        </w:rPr>
        <w:t>Метрики локализации и ответа изменялись несинхронно: на SciMDIX P2 повысил Hit@1 с 0,3929 до 0,5357, на RuSERRC показатель снизился с 0,7000 до 0,6900 при небольшом росте F1, а на SciER-384 остался равным 0,6667. Это различие подтверждает необходимость хранить разметку подтверждающего фрагмента и ответ модели извлечения ответа раздельно.</w:t>
      </w:r>
    </w:p>
    <w:p>
      <w:pPr>
        <w:spacing w:line="240" w:lineRule="auto" w:after="0"/>
        <w:ind w:firstLine="709"/>
        <w:jc w:val="both"/>
      </w:pPr>
      <w:r>
        <w:rPr>
          <w:rFonts w:ascii="Times New Roman" w:hAnsi="Times New Roman" w:eastAsia="Times New Roman"/>
          <w:b w:val="0"/>
          <w:i w:val="0"/>
          <w:sz w:val="24"/>
        </w:rPr>
        <w:t>Результаты моделей подтверждают диагностическую ценность подготовленных данных. На английских корпусах качество сильно зависело от обучения модели извлечения ответа на целевой предметной области; на русских корпусах решающим оставался базовый ранжировщик. Эти наблюдения не меняют правила формирования классов, но показывают, почему аудиторский слой следует сохранять при замене моделей.</w:t>
      </w:r>
    </w:p>
    <w:p>
      <w:pPr>
        <w:keepNext/>
        <w:spacing w:line="240" w:lineRule="auto" w:after="120" w:before="240"/>
        <w:jc w:val="center"/>
      </w:pPr>
      <w:r>
        <w:rPr>
          <w:rFonts w:ascii="Times New Roman" w:hAnsi="Times New Roman" w:eastAsia="Times New Roman"/>
          <w:b/>
          <w:i w:val="0"/>
          <w:sz w:val="24"/>
        </w:rPr>
        <w:t>Обсуждение</w:t>
      </w:r>
    </w:p>
    <w:p>
      <w:pPr>
        <w:spacing w:line="240" w:lineRule="auto" w:after="0"/>
        <w:ind w:firstLine="709"/>
        <w:jc w:val="both"/>
      </w:pPr>
      <w:r>
        <w:rPr>
          <w:rFonts w:ascii="Times New Roman" w:hAnsi="Times New Roman" w:eastAsia="Times New Roman"/>
          <w:b w:val="0"/>
          <w:i w:val="0"/>
          <w:sz w:val="24"/>
        </w:rPr>
        <w:t>Сходство аспектов объясняет возможность единого вопросно-ориентированного представления: задача и метод присутствуют во всех четырёх корпусах. Одновременно различия таксономий создают проверку переносимости. Английские полнотекстовые источники включают материал или набор данных, русские RuSERRC и SciMDIX пересекаются по цели, инструменту и применению, а метрика и научный вклад представлены только в отдельных ресурсах. Поэтому межкорпусное сравнение проверяет не идентичные выборки, а устойчивость общей программной схемы при контролируемом изменении языка, длины документа и целевого аспекта.</w:t>
      </w:r>
    </w:p>
    <w:p>
      <w:pPr>
        <w:spacing w:line="240" w:lineRule="auto" w:after="0"/>
        <w:ind w:firstLine="709"/>
        <w:jc w:val="both"/>
      </w:pPr>
      <w:r>
        <w:rPr>
          <w:rFonts w:ascii="Times New Roman" w:hAnsi="Times New Roman" w:eastAsia="Times New Roman"/>
          <w:b w:val="0"/>
          <w:i w:val="0"/>
          <w:sz w:val="24"/>
        </w:rPr>
        <w:t>Отдельный эксперимент SciER подтверждает, что сегментация является параметром алгоритма, а не нейтральной операцией предварительной обработки. Конфигурация 128/24 улучшила F1 у B1, B2, B3, P2 и P4 относительно 384/50, но ухудшила B4b. Короткий фрагмент повышает пространственное разрешение и вероятность локализации краткого упоминания, однако увеличивает число близких кандидатов. Длинный фрагмент уменьшает пространство поиска и предоставляет модели извлечения ответа больше контекста, но способен объединить несколько аспектов. Отсутствие единого направления эффекта обосновывает раздельное представление двух конфигураций и выбор одной из них для межкорпусной таблицы.</w:t>
      </w:r>
    </w:p>
    <w:p>
      <w:pPr>
        <w:spacing w:line="240" w:lineRule="auto" w:after="0"/>
        <w:ind w:firstLine="709"/>
        <w:jc w:val="both"/>
      </w:pPr>
      <w:r>
        <w:rPr>
          <w:rFonts w:ascii="Times New Roman" w:hAnsi="Times New Roman" w:eastAsia="Times New Roman"/>
          <w:b w:val="0"/>
          <w:i w:val="0"/>
          <w:sz w:val="24"/>
        </w:rPr>
        <w:t>Главное ограничение подготовки связано с зависимостью положительного класса от модели извлечения ответа. Доля подтверждённых моделью кандидатов среди положительных и официально подтверждающих фрагментов составила 45,2% для SciER-384, 47,6% для SciER-128, 31,5% для SciREX, 30,9% для RuSERRC и 13,4% для SciMDIX. Этот показатель характеризует совместимость аннотации, вопроса и модели извлечения ответа, а не качество исходной аннотации. Особенно низкое значение SciMDIX объясняет потерю значительной части вопросов при фильтрации ответоспособности и обосновывает сохранение класса «evidence_positive_qa_failed».</w:t>
      </w:r>
    </w:p>
    <w:p>
      <w:pPr>
        <w:spacing w:line="240" w:lineRule="auto" w:after="0"/>
        <w:ind w:firstLine="709"/>
        <w:jc w:val="both"/>
      </w:pPr>
      <w:r>
        <w:rPr>
          <w:rFonts w:ascii="Times New Roman" w:hAnsi="Times New Roman" w:eastAsia="Times New Roman"/>
          <w:b w:val="0"/>
          <w:i w:val="0"/>
          <w:sz w:val="24"/>
        </w:rPr>
        <w:t>Структура отрицательных классов также различается. В SciER-384 длинные фрагменты часто содержат официальные упоминания, поэтому простых отрицательных пар осталось только 52, а более половины пар внутри допущенных вопросов находится в карантине. В SciREX, напротив, сформировано 4352 простых отрицательных пары. Эти различия запрещают механически переносить отношение положительных и отрицательных примеров между корпусами; балансирование должно выполняться внутри каждого набора данных.</w:t>
      </w:r>
    </w:p>
    <w:p>
      <w:pPr>
        <w:spacing w:line="240" w:lineRule="auto" w:after="0"/>
        <w:ind w:firstLine="709"/>
        <w:jc w:val="both"/>
      </w:pPr>
      <w:r>
        <w:rPr>
          <w:rFonts w:ascii="Times New Roman" w:hAnsi="Times New Roman" w:eastAsia="Times New Roman"/>
          <w:b w:val="0"/>
          <w:i w:val="0"/>
          <w:sz w:val="24"/>
        </w:rPr>
        <w:t>Проверка чистоты имеет формальные границы. Нулевое число отрицательных фрагментов с официальным спаном доказывает отсутствие прямого конфликта с исходной разметкой, но не исключает неразмеченных парафразов или повторных упоминаний. Именно поэтому BM25-кандидаты дополнительно сравнивались с положительными во векторном пространстве. Для окончательной оценки точности классов требуется отдельная ручная выборка из сложных отрицательных и вероятных ложноотрицательных.</w:t>
      </w:r>
    </w:p>
    <w:p>
      <w:pPr>
        <w:spacing w:line="240" w:lineRule="auto" w:after="0"/>
        <w:ind w:firstLine="709"/>
        <w:jc w:val="both"/>
      </w:pPr>
      <w:r>
        <w:rPr>
          <w:rFonts w:ascii="Times New Roman" w:hAnsi="Times New Roman" w:eastAsia="Times New Roman"/>
          <w:b w:val="0"/>
          <w:i w:val="0"/>
          <w:sz w:val="24"/>
        </w:rPr>
        <w:t>Внутренняя и внешняя валидность результатов ограничены объёмом test. SciER содержит десять тестовых документов, SciMDIX даёт 28 оцениваемых вопросов из 17 документов; поэтому доверительные интервалы остаются широкими. RuSERRC не имеет официального test и ранее участвовал в разработке, следовательно, его holdout не образует независимого official-test confirmation. SciER-128 и SciER-384 статистически связаны; по этой причине 128/24 вынесена в отдельный анализ и исключена из основной межкорпусной средней. Финальное правило согласованности сформулировано после анализа test и требует отдельной проспективной проверки.</w:t>
      </w:r>
    </w:p>
    <w:p>
      <w:pPr>
        <w:spacing w:line="240" w:lineRule="auto" w:after="0"/>
        <w:ind w:firstLine="709"/>
        <w:jc w:val="both"/>
      </w:pPr>
      <w:r>
        <w:rPr>
          <w:rFonts w:ascii="Times New Roman" w:hAnsi="Times New Roman" w:eastAsia="Times New Roman"/>
          <w:b w:val="0"/>
          <w:i w:val="0"/>
          <w:sz w:val="24"/>
        </w:rPr>
        <w:t>С инженерной точки зрения конвейер обеспечивает прослеживаемость преобразований. Версии и контрольные суммы источников зафиксированы; исходные слои сущностей и отношений сохранены; тестовые части физически отделены от обучающих данных; неоднозначные экземпляры доступны для повторной обработки. Замена модели извлечения ответа или набора вопросов затрагивает только зависимые этапы. Это свойство снижает риск скрытого изменения выборки при модификации одного программного компонента.</w:t>
      </w:r>
    </w:p>
    <w:p>
      <w:pPr>
        <w:spacing w:line="240" w:lineRule="auto" w:after="0"/>
        <w:ind w:firstLine="709"/>
        <w:jc w:val="both"/>
      </w:pPr>
      <w:r>
        <w:rPr>
          <w:rFonts w:ascii="Times New Roman" w:hAnsi="Times New Roman" w:eastAsia="Times New Roman"/>
          <w:b w:val="0"/>
          <w:i w:val="0"/>
          <w:sz w:val="24"/>
        </w:rPr>
        <w:t>Подготовленные служебные классы позволяют локализовать ошибку без повторного запуска предварительной обработки. «evidence_positive_qa_failed» указывает на ограничение модели извлечения ответа или вопроса, «false_negative_candidate» на риск неполной аннотации, а «hard_negative» на содержательно близкий, но не подтверждающий фрагмент. Сохранение этих различий важнее увеличения числа отрицательных примеров, поскольку ошибочная отрицательная метка непосредственно искажает обучение ранжировщика.</w:t>
      </w:r>
    </w:p>
    <w:p>
      <w:pPr>
        <w:spacing w:line="240" w:lineRule="auto" w:after="0"/>
        <w:ind w:firstLine="709"/>
        <w:jc w:val="both"/>
      </w:pPr>
      <w:r>
        <w:rPr>
          <w:rFonts w:ascii="Times New Roman" w:hAnsi="Times New Roman" w:eastAsia="Times New Roman"/>
          <w:b w:val="0"/>
          <w:i w:val="0"/>
          <w:sz w:val="24"/>
        </w:rPr>
        <w:t>Дальнейшая проверка должна проводиться по заранее зафиксированной архитектуре на новом закрытом разбиении или дополнительном корпусе. Для полнотекстового сценария требуется увеличить число тестовых документов и включить внераспределительную часть SciER. Для русскоязычной части необходим независимый полнотекстовый корпус. Ресурсные характеристики следует измерять без общего кэша, с синхронизацией графического процессора и фиксацией максимального объёма видеопамяти.</w:t>
      </w:r>
    </w:p>
    <w:p>
      <w:pPr>
        <w:keepNext/>
        <w:spacing w:line="240" w:lineRule="auto" w:after="120" w:before="240"/>
        <w:jc w:val="center"/>
      </w:pPr>
      <w:r>
        <w:rPr>
          <w:rFonts w:ascii="Times New Roman" w:hAnsi="Times New Roman" w:eastAsia="Times New Roman"/>
          <w:b/>
          <w:i w:val="0"/>
          <w:sz w:val="24"/>
        </w:rPr>
        <w:t>Заключение</w:t>
      </w:r>
    </w:p>
    <w:p>
      <w:pPr>
        <w:spacing w:line="240" w:lineRule="auto" w:after="0"/>
        <w:ind w:firstLine="709"/>
        <w:jc w:val="both"/>
      </w:pPr>
      <w:r>
        <w:rPr>
          <w:rFonts w:ascii="Times New Roman" w:hAnsi="Times New Roman" w:eastAsia="Times New Roman"/>
          <w:b w:val="0"/>
          <w:i w:val="0"/>
          <w:sz w:val="24"/>
        </w:rPr>
        <w:t>Разработан программный конвейер подготовки многоязычных данных для вопросно-ориентированного выбора фрагментов научного текста. Его основной результат состоит в воспроизводимом разделении подтверждённых положительных, сложных и простых отрицательных, вероятных ложноотрицательных и официально подтверждающих, но не ответоспособных фрагментов.</w:t>
      </w:r>
    </w:p>
    <w:p>
      <w:pPr>
        <w:spacing w:line="240" w:lineRule="auto" w:after="0"/>
        <w:ind w:firstLine="709"/>
        <w:jc w:val="both"/>
      </w:pPr>
      <w:r>
        <w:rPr>
          <w:rFonts w:ascii="Times New Roman" w:hAnsi="Times New Roman" w:eastAsia="Times New Roman"/>
          <w:b w:val="0"/>
          <w:i w:val="0"/>
          <w:sz w:val="24"/>
        </w:rPr>
        <w:t>Прямой аудит подтвердил точность всех 78 329 проверенных границ и отсутствие официальных спанов в обучающих отрицательных классах. В обучение допущено от 18,5% вопросов SciMDIX до 98,5% вопросов SciER-128. Такой разброс отражает взаимодействие разметки, сегментации, вопроса и модели извлечения ответа и должен учитываться при интерпретации межкорпусных результатов.</w:t>
      </w:r>
    </w:p>
    <w:p>
      <w:pPr>
        <w:spacing w:line="240" w:lineRule="auto" w:after="0"/>
        <w:ind w:firstLine="709"/>
        <w:jc w:val="both"/>
      </w:pPr>
      <w:r>
        <w:rPr>
          <w:rFonts w:ascii="Times New Roman" w:hAnsi="Times New Roman" w:eastAsia="Times New Roman"/>
          <w:b w:val="0"/>
          <w:i w:val="0"/>
          <w:sz w:val="24"/>
        </w:rPr>
        <w:t>Очистка BM25-кандидатов оказалась существенной: от 37,4% до 81,0% близкого отрицательного пула было помещено в карантин как вероятные ложноотрицательные примеры. Следовательно, прямое обучение на пяти наиболее близких по BM25 фрагментах создавало бы значительный риск противоречивых меток.</w:t>
      </w:r>
    </w:p>
    <w:p>
      <w:pPr>
        <w:spacing w:line="240" w:lineRule="auto" w:after="0"/>
        <w:ind w:firstLine="709"/>
        <w:jc w:val="both"/>
      </w:pPr>
      <w:r>
        <w:rPr>
          <w:rFonts w:ascii="Times New Roman" w:hAnsi="Times New Roman" w:eastAsia="Times New Roman"/>
          <w:b w:val="0"/>
          <w:i w:val="0"/>
          <w:sz w:val="24"/>
        </w:rPr>
        <w:t>Сформированные наборы данных, промежуточные представления и аудиторские файлы пригодны для повторной проверки алгоритмов ранжирования, формулировок вопросов и моделей извлечения ответа. Финальная адаптивная конфигурация требует проспективного испытания на данных, не использованных при разработке.</w:t>
      </w:r>
    </w:p>
    <w:p>
      <w:pPr>
        <w:keepNext/>
        <w:spacing w:line="240" w:lineRule="auto" w:after="120" w:before="240"/>
        <w:jc w:val="center"/>
      </w:pPr>
      <w:r>
        <w:rPr>
          <w:rFonts w:ascii="Times New Roman" w:hAnsi="Times New Roman" w:eastAsia="Times New Roman"/>
          <w:b/>
          <w:i w:val="0"/>
          <w:sz w:val="24"/>
        </w:rPr>
        <w:t>СПИСОК ИСТОЧНИКОВ / REFERENCES</w:t>
      </w:r>
    </w:p>
    <w:p>
      <w:pPr>
        <w:spacing w:line="240" w:lineRule="auto" w:after="0"/>
        <w:ind w:left="425" w:hanging="425"/>
        <w:jc w:val="both"/>
      </w:pPr>
      <w:r>
        <w:rPr>
          <w:rFonts w:ascii="Times New Roman" w:hAnsi="Times New Roman" w:eastAsia="Times New Roman"/>
          <w:b w:val="0"/>
          <w:i w:val="0"/>
          <w:sz w:val="24"/>
        </w:rPr>
        <w:t>1. Jain S, van Zuylen M, Hajishirzi H, Beltagy I. SciREX: A Challenge Dataset for Document-Level Information Extraction. Proceedings of the 58th Annual Meeting of the Association for Computational Linguistics. 2020:7506-7516. DOI: 10.18653/v1/2020.acl-main.670.</w:t>
      </w:r>
    </w:p>
    <w:p>
      <w:pPr>
        <w:spacing w:line="240" w:lineRule="auto" w:after="0"/>
        <w:ind w:left="425" w:hanging="425"/>
        <w:jc w:val="both"/>
      </w:pPr>
      <w:r>
        <w:rPr>
          <w:rFonts w:ascii="Times New Roman" w:hAnsi="Times New Roman" w:eastAsia="Times New Roman"/>
          <w:b w:val="0"/>
          <w:i w:val="0"/>
          <w:sz w:val="24"/>
        </w:rPr>
        <w:t>2. Bruches E, Pauls A, Batura T, Isachenko V. Entity recognition and relation extraction from scientific and technical texts in Russian. Proceedings of the 2020 Science and Artificial Intelligence Conference. 2020:41-45.</w:t>
      </w:r>
    </w:p>
    <w:p>
      <w:pPr>
        <w:spacing w:line="240" w:lineRule="auto" w:after="0"/>
        <w:ind w:left="425" w:hanging="425"/>
        <w:jc w:val="both"/>
      </w:pPr>
      <w:r>
        <w:rPr>
          <w:rFonts w:ascii="Times New Roman" w:hAnsi="Times New Roman" w:eastAsia="Times New Roman"/>
          <w:b w:val="0"/>
          <w:i w:val="0"/>
          <w:sz w:val="24"/>
        </w:rPr>
        <w:t>3. Marshalova A, Bruches E, Batura T. Automatic Aspect Extraction from Scientific Texts. Recent Trends in Analysis of Images, Social Networks and Texts. Communications in Computer and Information Science. 2024;1905:67-80.</w:t>
      </w:r>
    </w:p>
    <w:p>
      <w:pPr>
        <w:spacing w:line="240" w:lineRule="auto" w:after="0"/>
        <w:ind w:left="425" w:hanging="425"/>
        <w:jc w:val="both"/>
      </w:pPr>
      <w:r>
        <w:rPr>
          <w:rFonts w:ascii="Times New Roman" w:hAnsi="Times New Roman" w:eastAsia="Times New Roman"/>
          <w:b w:val="0"/>
          <w:i w:val="0"/>
          <w:sz w:val="24"/>
        </w:rPr>
        <w:t>4. Batura T, Yerimbetova A, Mukazhanov N, Shvarts N, Sakenov B, Turdalyuly M. Information Extraction from Multi-Domain Scientific Documents: Methods and Insights. Applied Sciences. 2025;15(16):9086. DOI: 10.3390/app15169086.</w:t>
      </w:r>
    </w:p>
    <w:p>
      <w:pPr>
        <w:spacing w:line="240" w:lineRule="auto" w:after="0"/>
        <w:ind w:left="425" w:hanging="425"/>
        <w:jc w:val="both"/>
      </w:pPr>
      <w:r>
        <w:rPr>
          <w:rFonts w:ascii="Times New Roman" w:hAnsi="Times New Roman" w:eastAsia="Times New Roman"/>
          <w:b w:val="0"/>
          <w:i w:val="0"/>
          <w:sz w:val="24"/>
        </w:rPr>
        <w:t>5. Shvarts N, Batura T, Mukazhanov N, Yerimbetova A, Turdalyuly M, Sakenov B. SciMDIX: A dataset for aspect extraction from multi-domain scientific documents in Kazakh and Russian. Procedia Computer Science. 2026;275:474-483. DOI: 10.1016/j.procs.2026.01.056.</w:t>
      </w:r>
    </w:p>
    <w:p>
      <w:pPr>
        <w:spacing w:line="240" w:lineRule="auto" w:after="0"/>
        <w:ind w:left="425" w:hanging="425"/>
        <w:jc w:val="both"/>
      </w:pPr>
      <w:r>
        <w:rPr>
          <w:rFonts w:ascii="Times New Roman" w:hAnsi="Times New Roman" w:eastAsia="Times New Roman"/>
          <w:b w:val="0"/>
          <w:i w:val="0"/>
          <w:sz w:val="24"/>
        </w:rPr>
        <w:t>6. Zhang Q, Chen Z, Pan H, Caragea C, Latecki LJ, Dragut E. SciER: An Entity and Relation Extraction Dataset for Datasets, Methods, and Tasks in Scientific Documents. Proceedings of EMNLP. 2024:13083-13100. DOI: 10.18653/v1/2024.emnlp-main.726.</w:t>
      </w:r>
    </w:p>
    <w:p>
      <w:pPr>
        <w:spacing w:line="240" w:lineRule="auto" w:after="0"/>
        <w:ind w:left="425" w:hanging="425"/>
        <w:jc w:val="both"/>
      </w:pPr>
      <w:r>
        <w:rPr>
          <w:rFonts w:ascii="Times New Roman" w:hAnsi="Times New Roman" w:eastAsia="Times New Roman"/>
          <w:b w:val="0"/>
          <w:i w:val="0"/>
          <w:sz w:val="24"/>
        </w:rPr>
        <w:t>7. Qu Y, Ding Y, Liu J, Liu K, Ren R, Zhao X, et al. RocketQA: An Optimized Training Approach to Dense Passage Retrieval for Open-Domain Question Answering. 2020.</w:t>
      </w:r>
    </w:p>
    <w:p>
      <w:pPr>
        <w:spacing w:line="240" w:lineRule="auto" w:after="0"/>
        <w:ind w:left="425" w:hanging="425"/>
        <w:jc w:val="both"/>
      </w:pPr>
      <w:r>
        <w:rPr>
          <w:rFonts w:ascii="Times New Roman" w:hAnsi="Times New Roman" w:eastAsia="Times New Roman"/>
          <w:b w:val="0"/>
          <w:i w:val="0"/>
          <w:sz w:val="24"/>
        </w:rPr>
        <w:t>8. Ni A, Gardner M, Dasigi P. Mitigating False-Negative Contexts in Multi-document Question Answering with Retrieval Marginalization. Proceedings of EMNLP. 2021. DOI: 10.18653/v1/2021.emnlp-main.497.</w:t>
      </w:r>
    </w:p>
    <w:p>
      <w:pPr>
        <w:spacing w:line="240" w:lineRule="auto" w:after="0"/>
        <w:ind w:left="425" w:hanging="425"/>
        <w:jc w:val="both"/>
      </w:pPr>
      <w:r>
        <w:rPr>
          <w:rFonts w:ascii="Times New Roman" w:hAnsi="Times New Roman" w:eastAsia="Times New Roman"/>
          <w:b w:val="0"/>
          <w:i w:val="0"/>
          <w:sz w:val="24"/>
        </w:rPr>
        <w:t>9. Abdumalikov R, Minervini P, Kementchedjhieva Y. Answerability in Retrieval-Augmented Open-Domain Question Answering. arXiv:2403.01461. 2024.</w:t>
      </w:r>
    </w:p>
    <w:p>
      <w:pPr>
        <w:spacing w:line="240" w:lineRule="auto" w:after="0"/>
        <w:ind w:left="425" w:hanging="425"/>
        <w:jc w:val="both"/>
      </w:pPr>
      <w:r>
        <w:rPr>
          <w:rFonts w:ascii="Times New Roman" w:hAnsi="Times New Roman" w:eastAsia="Times New Roman"/>
          <w:b w:val="0"/>
          <w:i w:val="0"/>
          <w:sz w:val="24"/>
        </w:rPr>
        <w:t>10. Wang Z, Ng P, Ma X, Nallapati R, Xiang B. Multi-passage BERT: A Globally Normalized BERT Model for Open-domain Question Answering. 2019:5877-5881.</w:t>
      </w:r>
    </w:p>
    <w:p>
      <w:pPr>
        <w:spacing w:line="240" w:lineRule="auto" w:after="0"/>
        <w:ind w:left="425" w:hanging="425"/>
        <w:jc w:val="both"/>
      </w:pPr>
      <w:r>
        <w:rPr>
          <w:rFonts w:ascii="Times New Roman" w:hAnsi="Times New Roman" w:eastAsia="Times New Roman"/>
          <w:b w:val="0"/>
          <w:i w:val="0"/>
          <w:sz w:val="24"/>
        </w:rPr>
        <w:t>11. Wang S, Yu M, Jiang J, Zhang W, Guo X, Chang S, et al. Evidence Aggregation for Answer Re-Ranking in Open-Domain Question Answering. arXiv:1711.05116. 2017.</w:t>
      </w:r>
    </w:p>
    <w:p>
      <w:pPr>
        <w:spacing w:line="240" w:lineRule="auto" w:after="0"/>
        <w:ind w:left="425" w:hanging="425"/>
        <w:jc w:val="both"/>
      </w:pPr>
      <w:r>
        <w:rPr>
          <w:rFonts w:ascii="Times New Roman" w:hAnsi="Times New Roman" w:eastAsia="Times New Roman"/>
          <w:b w:val="0"/>
          <w:i w:val="0"/>
          <w:sz w:val="24"/>
        </w:rPr>
        <w:t>12. Hashimoto K, Zhou Y, Yavuz S, Xiong C, Yu PS. Dense Hierarchical Retrieval for Open-Domain Question Answering. 2021:188-200.</w:t>
      </w:r>
    </w:p>
    <w:p>
      <w:pPr>
        <w:spacing w:line="240" w:lineRule="auto" w:after="0"/>
        <w:ind w:left="425" w:hanging="425"/>
        <w:jc w:val="both"/>
      </w:pPr>
      <w:r>
        <w:rPr>
          <w:rFonts w:ascii="Times New Roman" w:hAnsi="Times New Roman" w:eastAsia="Times New Roman"/>
          <w:b w:val="0"/>
          <w:i w:val="0"/>
          <w:sz w:val="24"/>
        </w:rPr>
        <w:t>13. Caciularu A, Dagan I, Goldberger J, Cohan A. Long Context Question Answering via Supervised Contrastive Learning. 2021:2872-2879.</w:t>
      </w:r>
    </w:p>
    <w:p>
      <w:pPr>
        <w:spacing w:line="240" w:lineRule="auto" w:after="0"/>
        <w:ind w:left="425" w:hanging="425"/>
        <w:jc w:val="both"/>
      </w:pPr>
      <w:r>
        <w:rPr>
          <w:rFonts w:ascii="Times New Roman" w:hAnsi="Times New Roman" w:eastAsia="Times New Roman"/>
          <w:b w:val="0"/>
          <w:i w:val="0"/>
          <w:sz w:val="24"/>
        </w:rPr>
        <w:t>14. Ferguson J, Hajishirzi H, Dasigi P, Khot T. Retrieval Data Augmentation Informed by Downstream Question Answering Performance. Proceedings of the Fifth Fact Extraction and VERification Workshop. 2022. DOI: 10.18653/v1/2022.fever-1.1.</w:t>
      </w:r>
    </w:p>
    <w:p>
      <w:pPr>
        <w:spacing w:line="240" w:lineRule="auto" w:after="0"/>
        <w:ind w:left="425" w:hanging="425"/>
        <w:jc w:val="both"/>
      </w:pPr>
      <w:r>
        <w:rPr>
          <w:rFonts w:ascii="Times New Roman" w:hAnsi="Times New Roman" w:eastAsia="Times New Roman"/>
          <w:sz w:val="24"/>
        </w:rPr>
        <w:t>15. [Фамилия И.О. автора]. UnTIE: безопасный вопросно-ориентированный выбор фрагмента научного текста. Рукопись подготовлена к публикации. 2026.</w:t>
      </w:r>
    </w:p>
    <w:p>
      <w:pPr>
        <w:keepNext/>
        <w:spacing w:line="240" w:lineRule="auto" w:after="120" w:before="240"/>
        <w:jc w:val="center"/>
      </w:pPr>
      <w:r>
        <w:rPr>
          <w:rFonts w:ascii="Times New Roman" w:hAnsi="Times New Roman" w:eastAsia="Times New Roman"/>
          <w:b/>
          <w:i w:val="0"/>
          <w:sz w:val="24"/>
        </w:rPr>
        <w:t>ИНФОРМАЦИЯ ОБ АВТОРЕ / INFORMATION ABOUT THE AUTHOR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blHeader/>
        </w:trPr>
        <w:tc>
          <w:tcPr>
            <w:tcW w:type="dxa" w:w="4535"/>
            <w:tcMar>
              <w:top w:w="100" w:type="dxa"/>
              <w:start w:w="100" w:type="dxa"/>
              <w:bottom w:w="100" w:type="dxa"/>
              <w:end w:w="100" w:type="dxa"/>
            </w:tcMar>
          </w:tcPr>
          <w:p>
            <w:pPr>
              <w:spacing w:after="0" w:line="240" w:lineRule="auto" w:before="0"/>
              <w:jc w:val="both"/>
            </w:pPr>
            <w:r>
              <w:rPr>
                <w:rFonts w:ascii="Times New Roman" w:hAnsi="Times New Roman" w:eastAsia="Times New Roman"/>
                <w:b/>
                <w:i w:val="0"/>
                <w:sz w:val="20"/>
              </w:rPr>
              <w:t>[Ф.И.О. полностью], [учёная степень, звание, должность], [полное название организации], [город], [страна].</w:t>
            </w:r>
            <w:r>
              <w:rPr>
                <w:rFonts w:ascii="Times New Roman" w:hAnsi="Times New Roman" w:eastAsia="Times New Roman"/>
                <w:b/>
                <w:sz w:val="17"/>
              </w:rPr>
              <w:br/>
            </w:r>
            <w:r>
              <w:rPr>
                <w:rFonts w:ascii="Times New Roman" w:hAnsi="Times New Roman" w:eastAsia="Times New Roman"/>
                <w:b/>
                <w:i w:val="0"/>
                <w:sz w:val="20"/>
              </w:rPr>
              <w:t>e-mail: [адрес]</w:t>
            </w:r>
            <w:r>
              <w:rPr>
                <w:rFonts w:ascii="Times New Roman" w:hAnsi="Times New Roman" w:eastAsia="Times New Roman"/>
                <w:b/>
                <w:sz w:val="17"/>
              </w:rPr>
              <w:br/>
            </w:r>
            <w:r>
              <w:rPr>
                <w:rFonts w:ascii="Times New Roman" w:hAnsi="Times New Roman" w:eastAsia="Times New Roman"/>
                <w:b/>
                <w:i w:val="0"/>
                <w:sz w:val="20"/>
              </w:rPr>
              <w:t>ORCID: [ссылка]</w:t>
            </w:r>
          </w:p>
        </w:tc>
        <w:tc>
          <w:tcPr>
            <w:tcW w:type="dxa" w:w="4535"/>
            <w:tcMar>
              <w:top w:w="100" w:type="dxa"/>
              <w:start w:w="100" w:type="dxa"/>
              <w:bottom w:w="100" w:type="dxa"/>
              <w:end w:w="100" w:type="dxa"/>
            </w:tcMar>
          </w:tcPr>
          <w:p>
            <w:pPr>
              <w:spacing w:after="0" w:line="240" w:lineRule="auto" w:before="0"/>
              <w:jc w:val="both"/>
            </w:pPr>
            <w:r>
              <w:rPr>
                <w:rFonts w:ascii="Times New Roman" w:hAnsi="Times New Roman" w:eastAsia="Times New Roman"/>
                <w:b/>
                <w:i w:val="0"/>
                <w:sz w:val="20"/>
                <w:lang w:val="en-US"/>
              </w:rPr>
              <w:t>[Full name], [academic degree, title, position], [full organization name], [city], [country].</w:t>
            </w:r>
            <w:r>
              <w:rPr>
                <w:rFonts w:ascii="Times New Roman" w:hAnsi="Times New Roman" w:eastAsia="Times New Roman"/>
                <w:b/>
                <w:sz w:val="17"/>
              </w:rPr>
              <w:br/>
            </w:r>
            <w:r>
              <w:rPr>
                <w:rFonts w:ascii="Times New Roman" w:hAnsi="Times New Roman" w:eastAsia="Times New Roman"/>
                <w:b/>
                <w:i w:val="0"/>
                <w:sz w:val="20"/>
                <w:lang w:val="en-US"/>
              </w:rPr>
              <w:t>e-mail: [address]</w:t>
            </w:r>
            <w:r>
              <w:rPr>
                <w:rFonts w:ascii="Times New Roman" w:hAnsi="Times New Roman" w:eastAsia="Times New Roman"/>
                <w:b/>
                <w:sz w:val="17"/>
              </w:rPr>
              <w:br/>
            </w:r>
            <w:r>
              <w:rPr>
                <w:rFonts w:ascii="Times New Roman" w:hAnsi="Times New Roman" w:eastAsia="Times New Roman"/>
                <w:b/>
                <w:i w:val="0"/>
                <w:sz w:val="20"/>
                <w:lang w:val="en-US"/>
              </w:rPr>
              <w:t>ORCID: [link]</w:t>
            </w:r>
          </w:p>
        </w:tc>
      </w:tr>
    </w:tbl>
    <w:p>
      <w:pPr>
        <w:spacing w:line="240" w:lineRule="auto" w:after="240" w:before="240"/>
        <w:jc w:val="center"/>
      </w:pPr>
      <w:r>
        <w:rPr>
          <w:rFonts w:ascii="Times New Roman" w:hAnsi="Times New Roman" w:eastAsia="Times New Roman"/>
          <w:b w:val="0"/>
          <w:i/>
          <w:sz w:val="24"/>
        </w:rPr>
        <w:t>Статья поступила в редакцию [дата]; одобрена после рецензирования [дата]; принята к публикации [дата].</w:t>
      </w:r>
    </w:p>
    <w:p>
      <w:pPr>
        <w:spacing w:line="240" w:lineRule="auto" w:after="120"/>
        <w:jc w:val="center"/>
      </w:pPr>
      <w:r>
        <w:rPr>
          <w:rFonts w:ascii="Times New Roman" w:hAnsi="Times New Roman" w:eastAsia="Times New Roman"/>
          <w:b w:val="0"/>
          <w:i/>
          <w:sz w:val="24"/>
          <w:lang w:val="en-US"/>
        </w:rPr>
        <w:t>The article was submitted [date]; approved after reviewing [date]; accepted for publication [date].</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073BB456" ns2:textId="16E643AA" ns0:rsidR="00C6418A" ns0:rsidRDefault="00093DF7" ns0:rsidP="00093DF7">
    <ns0:pPr>
      <ns0:pStyle ns0:val="aff1"/>
      <ns0:tabs>
        <ns0:tab ns0:val="clear" ns0:pos="9355"/>
        <ns0:tab ns0:val="right" ns0:pos="9070"/>
      </ns0:tabs>
      <ns0:spacing ns0:after="240"/>
    </ns0:pPr>
    <ns0:r>
      <ns0:rPr>
        <ns0:rFonts ns0:ascii="Times New Roman" ns0:eastAsia="Times New Roman" ns0:hAnsi="Times New Roman" ns0:cs="Times New Roman"/>
        <ns0:b ns0:val="0"/>
        <ns0:i ns0:val="0"/>
        <ns0:sz ns0:val="20"/>
        <ns0:lang ns0:eastAsia="ru-RU"/>
      </ns0:rPr>
      <ns0:tab/>
    </ns0:r>
    <ns0:r>
      <ns0:rPr>
        <ns0:rFonts ns0:ascii="Times New Roman" ns0:eastAsia="Times New Roman" ns0:hAnsi="Times New Roman" ns0:cs="Times New Roman"/>
        <ns0:b ns0:val="0"/>
        <ns0:i ns0:val="0"/>
        <ns0:sz ns0:val="20"/>
        <ns0:lang ns0:eastAsia="ru-RU"/>
      </ns0:rPr>
      <ns0:tab/>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2</ns0:t>
    </ns0:r>
    <ns0:r ns0:rsidR="00A3192E">
      <ns0:rPr>
        <ns0:rFonts ns0:ascii="Times New Roman" ns0:eastAsia="Times New Roman" ns0:hAnsi="Times New Roman" ns0:cs="Times New Roman"/>
        <ns0:lang ns0:val="en-US" ns0:eastAsia="ru-RU"/>
      </ns0:rPr>
    </ns0:r>
    <ns0:r ns0:rsidR="00A3192E">
      <ns0:rPr>
        <ns0:rFonts ns0:ascii="Times New Roman" ns0:eastAsia="Times New Roman" ns0:hAnsi="Times New Roman" ns0:cs="Times New Roman"/>
        <ns0:b ns0:val="0"/>
        <ns0:i ns0:val="0"/>
        <ns0:sz ns0:val="20"/>
        <ns0:lang ns0:eastAsia="ru-RU"/>
      </ns0:rPr>
      <ns0:t xml:space="preserve"> | </ns0:t>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9</ns0:t>
    </ns0:r>
    <ns0:r ns0:rsidR="00A3192E">
      <ns0:rPr>
        <ns0:rFonts ns0:ascii="Times New Roman" ns0:eastAsia="Times New Roman" ns0:hAnsi="Times New Roman" ns0:cs="Times New Roman"/>
        <ns0:lang ns0:val="en-US" ns0:eastAsia="ru-RU"/>
      </ns0:rPr>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4C08BB1E" ns2:textId="572FBE60" ns0:rsidR="00C6418A" ns0:rsidRDefault="00A3192E" ns0:rsidP="00FA4EB1">
    <ns0:pPr>
      <ns0:pStyle ns0:val="aff1"/>
      <ns0:tabs>
        <ns0:tab ns0:val="clear" ns0:pos="9355"/>
        <ns0:tab ns0:val="right" ns0:pos="9070"/>
      </ns0:tabs>
      <ns0:spacing ns0:after="240"/>
    </ns0:pPr>
    <ns0:bookmarkStart ns0:id="24" ns0:name="_Hlk124857823"/>
    <ns0:bookmarkStart ns0:id="25" ns0:name="_Hlk129958133"/>
    <ns0:r>
      <ns0:rPr>
        <ns0:rFonts ns0:ascii="Times New Roman" ns0:eastAsia="Times New Roman" ns0:hAnsi="Times New Roman" ns0:cs="Times New Roman"/>
        <ns0:b ns0:val="0"/>
        <ns0:i ns0:val="0"/>
        <ns0:sz ns0:val="20"/>
        <ns0:lang ns0:eastAsia="ru-RU"/>
      </ns0:rPr>
      <ns0:t>©</ns0:t>
    </ns0:r>
    <ns0:bookmarkEnd ns0:id="24"/>
    <ns0:r>
      <ns0:rPr>
        <ns0:rFonts ns0:ascii="Times New Roman" ns0:eastAsia="Times New Roman" ns0:hAnsi="Times New Roman" ns0:cs="Times New Roman"/>
        <ns0:b ns0:val="0"/>
        <ns0:i ns0:val="0"/>
        <ns0:sz ns0:val="20"/>
        <ns0:lang ns0:eastAsia="ru-RU"/>
      </ns0:rPr>
      <ns0:t xml:space="preserve"> </ns0:t>
    </ns0:r>
    <ns0:r>
      <ns0:rPr>
        <ns0:rFonts ns0:ascii="Times New Roman" ns0:hAnsi="Times New Roman" ns0:cs="Times New Roman" ns0:eastAsia="Times New Roman"/>
        <ns0:b ns0:val="0"/>
        <ns0:i ns0:val="0"/>
        <ns0:sz ns0:val="20"/>
      </ns0:rPr>
      <ns0:t>[Ф.И.О. автора], 202</ns0:t>
    </ns0:r>
    <ns0:bookmarkStart ns0:id="26" ns0:name="_Hlk127880111"/>
    <ns0:r ns0:rsidR="00FA4EB1">
      <ns0:rPr>
        <ns0:rFonts ns0:ascii="Times New Roman" ns0:hAnsi="Times New Roman" ns0:cs="Times New Roman" ns0:eastAsia="Times New Roman"/>
        <ns0:b ns0:val="0"/>
        <ns0:i ns0:val="0"/>
        <ns0:sz ns0:val="20"/>
      </ns0:rPr>
      <ns0:t>6</ns0:t>
    </ns0:r>
    <ns0:r ns0:rsidR="00FA4EB1">
      <ns0:rPr>
        <ns0:rFonts ns0:ascii="Times New Roman" ns0:hAnsi="Times New Roman" ns0:cs="Times New Roman" ns0:eastAsia="Times New Roman"/>
        <ns0:b ns0:val="0"/>
        <ns0:i ns0:val="0"/>
        <ns0:sz ns0:val="20"/>
      </ns0:rPr>
      <ns0:tab/>
    </ns0:r>
    <ns0:r ns0:rsidR="00FA4EB1">
      <ns0:rPr>
        <ns0:rFonts ns0:ascii="Times New Roman" ns0:hAnsi="Times New Roman" ns0:cs="Times New Roman" ns0:eastAsia="Times New Roman"/>
        <ns0:b ns0:val="0"/>
        <ns0:i ns0:val="0"/>
        <ns0:sz ns0:val="20"/>
      </ns0:rPr>
      <ns0:tab/>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1</ns0:t>
    </ns0:r>
    <ns0:r>
      <ns0:rPr>
        <ns0:rFonts ns0:ascii="Times New Roman" ns0:eastAsia="Times New Roman" ns0:hAnsi="Times New Roman" ns0:cs="Times New Roman"/>
        <ns0:lang ns0:val="en-US" ns0:eastAsia="ru-RU"/>
      </ns0:rPr>
    </ns0:r>
    <ns0:r>
      <ns0:rPr>
        <ns0:rFonts ns0:ascii="Times New Roman" ns0:eastAsia="Times New Roman" ns0:hAnsi="Times New Roman" ns0:cs="Times New Roman"/>
        <ns0:b ns0:val="0"/>
        <ns0:i ns0:val="0"/>
        <ns0:sz ns0:val="20"/>
        <ns0:lang ns0:eastAsia="ru-RU"/>
      </ns0:rPr>
      <ns0:t xml:space="preserve"> | </ns0:t>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9</ns0:t>
    </ns0:r>
    <ns0:r>
      <ns0:rPr>
        <ns0:rFonts ns0:ascii="Times New Roman" ns0:eastAsia="Times New Roman" ns0:hAnsi="Times New Roman" ns0:cs="Times New Roman"/>
        <ns0:lang ns0:val="en-US" ns0:eastAsia="ru-RU"/>
      </ns0:rPr>
    </ns0:r>
    <ns0:bookmarkEnd ns0:id="25"/>
    <ns0:bookmarkEnd ns0:id="26"/>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FA4EB1" ns0:rsidRPr="00FC6417" ns2:paraId="2D0A9708"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73F27B5"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0" ns0:name="_Hlk178933320"/>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5CE3263D"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113EEA0C" ns2:textId="6D2D3B8D"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sidRPr="00FC6417">
            <ns0:rPr>
              <ns0:rFonts ns0:ascii="Times New Roman" ns0:eastAsia="Times New Roman" ns0:hAnsi="Times New Roman" ns0:cs="Times New Roman"/>
              <ns0:b/>
              <ns0:sz ns0:val="18"/>
              <ns0:szCs ns0:val="18"/>
              <ns0:lang ns0:val="en-US"/>
            </ns0:rPr>
            <ns0:t>2</ns0:t>
          </ns0:r>
          <ns0:r ns0:rsidR="003C6001">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lang ns0:val="en-US"/>
            </ns0:rPr>
            <ns0:t>1</ns0:t>
          </ns0:r>
          <ns0:r ns0:rsidR="003C6001">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3C6001">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35A599D0" ns2:textId="77777777"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p>
      </ns0:tc>
    </ns0:tr>
    <ns0:bookmarkEnd ns0:id="20"/>
  </ns0:tbl>
  <ns0:p ns2:paraId="08C96270" ns2:textId="77777777" ns0:rsidR="00C6418A" ns0:rsidRDefault="00C6418A">
    <ns0:pPr>
      <ns0:pStyle ns0:val="aff"/>
      <ns0:rPr>
        <ns0:rFonts ns0:ascii="Times New Roman" ns0:hAnsi="Times New Roman" ns0:cs="Times New Roman"/>
        <ns0:sz ns0:val="24"/>
        <ns0:szCs ns0:val="24"/>
      </ns0:rPr>
    </ns0:pPr>
  </ns0:p>
</ns0:hdr>
</file>

<file path=word/header2.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E754D4" ns0:rsidRPr="00FC6417" ns2:paraId="1A632CCC"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A5F4A9D"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1" ns0:name="_Hlk87132664"/>
          <ns0:bookmarkStart ns0:id="22" ns0:name="_Hlk115771519"/>
          <ns0:bookmarkStart ns0:id="23" ns0:name="_Hlk178932976"/>
          <ns0:r ns0:rsidRPr="00FC6417">
            <ns0:rPr>
              <ns0:rFonts ns0:ascii="Times New Roman" ns0:eastAsia="Times New Roman" ns0:hAnsi="Times New Roman" ns0:cs="Times New Roman"/>
              <ns0:noProof/>
              <ns0:sz ns0:val="24"/>
              <ns0:szCs ns0:val="24"/>
            </ns0:rPr>
            <ns0:drawing>
              <ns3:anchor distT="0" distB="0" distL="114300" distR="114300" simplePos="0" relativeHeight="251659264" behindDoc="0" locked="0" layoutInCell="1" allowOverlap="1" ns4:anchorId="69BA5896" ns4:editId="2CE56176">
                <ns3:simplePos x="0" y="0"/>
                <ns3:positionH relativeFrom="margin">
                  <ns3:posOffset>3753751</ns3:posOffset>
                </ns3:positionH>
                <ns3:positionV relativeFrom="paragraph">
                  <ns3:posOffset>-19685</ns3:posOffset>
                </ns3:positionV>
                <ns3:extent cx="863243" cy="298813"/>
                <ns3:effectExtent l="0" t="0" r="0" b="6350"/>
                <ns3:wrapNone/>
                <ns3:docPr id="8" name="Рисунок 8" descr="Изображение выглядит как текст, коллекция картинок&#10;&#10;Автоматически созданное описание"/>
                <ns3:cNvGraphicFramePr>
                  <ns5:graphicFrameLocks noChangeAspect="1"/>
                </ns3:cNvGraphicFramePr>
                <ns5:graphic>
                  <ns5:graphicData uri="http://schemas.openxmlformats.org/drawingml/2006/picture">
                    <ns6:pic>
                      <ns6:nvPicPr>
                        <ns6:cNvPr id="11" name="Рисунок 11" descr="Изображение выглядит как текст, коллекция картинок&#10;&#10;Автоматически созданное описание"/>
                        <ns6:cNvPicPr/>
                      </ns6:nvPicPr>
                      <ns6:blipFill>
                        <ns5:blip ns7:embed="rId1" cstate="print">
                          <ns5:extLst>
                            <ns5:ext uri="{28A0092B-C50C-407E-A947-70E740481C1C}">
                              <ns8:useLocalDpi val="0"/>
                            </ns5:ext>
                          </ns5:extLst>
                        </ns5:blip>
                        <ns5:stretch>
                          <ns5:fillRect/>
                        </ns5:stretch>
                      </ns6:blipFill>
                      <ns6:spPr>
                        <ns5:xfrm>
                          <ns5:off x="0" y="0"/>
                          <ns5:ext cx="863243" cy="298813"/>
                        </ns5:xfrm>
                        <ns5:prstGeom prst="rect">
                          <ns5:avLst/>
                        </ns5:prstGeom>
                      </ns6:spPr>
                    </ns6:pic>
                  </ns5:graphicData>
                </ns5:graphic>
                <ns4:sizeRelH relativeFrom="margin">
                  <ns4:pctWidth>0</ns4:pctWidth>
                </ns4:sizeRelH>
                <ns4:sizeRelV relativeFrom="margin">
                  <ns4:pctHeight>0</ns4:pctHeight>
                </ns4:sizeRelV>
              </ns3:anchor>
            </ns0:drawing>
          </ns0:r>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44BE3E01"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515D8574" ns2:textId="6F7A5359"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Pr>
              <ns0:rFonts ns0:ascii="Times New Roman" ns0:eastAsia="Times New Roman" ns0:hAnsi="Times New Roman" ns0:cs="Times New Roman"/>
              <ns0:b/>
              <ns0:sz ns0:val="18"/>
              <ns0:szCs ns0:val="18"/>
              <ns0:lang ns0:val="en-US"/>
            </ns0:rPr>
            <ns0:t>2</ns0:t>
          </ns0:r>
          <ns0:r ns0:rsidR="00093DF7">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rPr>
            <ns0:t>1</ns0:t>
          </ns0:r>
          <ns0:r ns0:rsidR="00093DF7">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093DF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0BD58BDC" ns2:textId="77777777"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bookmarkEnd ns0:id="21"/>
          <ns0:bookmarkEnd ns0:id="22"/>
        </ns0:p>
      </ns0:tc>
    </ns0:tr>
    <ns0:bookmarkEnd ns0:id="23"/>
  </ns0:tbl>
  <ns0:p ns2:paraId="09F9EC88" ns2:textId="77777777" ns0:rsidR="00C6418A" ns0:rsidRDefault="00C6418A">
    <ns0:pPr>
      <ns0:pStyle ns0:val="aff"/>
      <ns0:rPr>
        <ns0:rFonts ns0:ascii="Times New Roman" ns0:hAnsi="Times New Roman" ns0:cs="Times New Roman"/>
        <ns0:sz ns0:val="24"/>
        <ns0:szCs ns0:val="24"/>
      </ns0:rPr>
    </ns0:pP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 Id="rId2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2674</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Программный конвейер подготовки многоязычных данных для алгоритмов выбора фрагментов научного текста</dc:title>
  <dc:subject>Модели, методы и программные средства подготовки данных для алгоритмов обработки научного текста</dc:subject>
  <dc:creator>[Ф.И.О. автора]</dc:creator>
  <cp:keywords>2.3.5; программный конвейер; модель данных; верификация; вычислительный эксперимент; выбор фрагмента</cp:keywords>
  <dc:description>Редакция 2.3.5 с фокусом на формирование positive/negative классов и воспроизводимым аудитом обучающих данных.</dc:description>
  <cp:lastModifiedBy>User</cp:lastModifiedBy>
  <cp:revision>6</cp:revision>
  <dcterms:created xsi:type="dcterms:W3CDTF">2025-01-13T09:03:00Z</dcterms:created>
  <dcterms:modified xsi:type="dcterms:W3CDTF">2025-01-16T11:24:00Z</dcterms:modified>
  <dc:identifier>235-50682f23c86686eb</dc:identifier>
</cp:coreProperties>
</file>