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240" w:lineRule="auto" w:before="0" w:after="0"/>
        <w:jc w:val="left"/>
      </w:pPr>
      <w:r>
        <w:rPr>
          <w:rFonts w:ascii="Times New Roman" w:hAnsi="Times New Roman" w:eastAsia="Times New Roman"/>
          <w:b w:val="0"/>
          <w:i w:val="0"/>
          <w:sz w:val="24"/>
        </w:rPr>
        <w:t>УДК 004.8:004.912</w:t>
      </w:r>
    </w:p>
    <w:p>
      <w:pPr>
        <w:spacing w:line="240" w:lineRule="auto" w:before="0" w:after="0"/>
        <w:jc w:val="left"/>
      </w:pPr>
      <w:r>
        <w:rPr>
          <w:rFonts w:ascii="Times New Roman" w:hAnsi="Times New Roman" w:eastAsia="Times New Roman"/>
          <w:b w:val="0"/>
          <w:i w:val="0"/>
          <w:sz w:val="24"/>
        </w:rPr>
        <w:t>DOI: [будет присвоен редакцией]</w:t>
      </w:r>
    </w:p>
    <w:p>
      <w:pPr>
        <w:spacing w:line="240" w:lineRule="auto" w:before="240" w:after="240"/>
        <w:jc w:val="center"/>
      </w:pPr>
      <w:r>
        <w:rPr>
          <w:rFonts w:ascii="Times New Roman" w:hAnsi="Times New Roman" w:eastAsia="Times New Roman"/>
          <w:b/>
          <w:i w:val="0"/>
          <w:sz w:val="32"/>
        </w:rPr>
        <w:t>Метод извлечения информации из неструктурированных текстовых документов</w:t>
      </w:r>
    </w:p>
    <w:p>
      <w:pPr>
        <w:spacing w:line="240" w:lineRule="auto" w:before="0" w:after="120"/>
        <w:jc w:val="center"/>
      </w:pPr>
      <w:r>
        <w:rPr>
          <w:rFonts w:ascii="Times New Roman" w:hAnsi="Times New Roman" w:eastAsia="Times New Roman"/>
          <w:b/>
          <w:i w:val="0"/>
          <w:sz w:val="24"/>
        </w:rPr>
        <w:t>[Ф.И.О. автора]1*</w:t>
      </w:r>
    </w:p>
    <w:p>
      <w:pPr>
        <w:spacing w:line="240" w:lineRule="auto" w:before="0" w:after="0"/>
        <w:jc w:val="center"/>
      </w:pPr>
      <w:r>
        <w:rPr>
          <w:rFonts w:ascii="Times New Roman" w:hAnsi="Times New Roman" w:eastAsia="Times New Roman"/>
          <w:b w:val="0"/>
          <w:i/>
          <w:sz w:val="24"/>
        </w:rPr>
        <w:t>1[Полное название организации], [город], [страна]</w:t>
      </w:r>
    </w:p>
    <w:p>
      <w:pPr>
        <w:spacing w:line="240" w:lineRule="auto" w:before="120" w:after="0"/>
        <w:jc w:val="both"/>
      </w:pPr>
      <w:r>
        <w:rPr>
          <w:rFonts w:ascii="Times New Roman" w:hAnsi="Times New Roman" w:eastAsia="Times New Roman"/>
          <w:b/>
          <w:i/>
          <w:sz w:val="24"/>
        </w:rPr>
        <w:t>Резюме.</w:t>
      </w:r>
      <w:r>
        <w:rPr>
          <w:rFonts w:ascii="Times New Roman" w:hAnsi="Times New Roman" w:eastAsia="Times New Roman"/>
          <w:b w:val="0"/>
          <w:i w:val="0"/>
          <w:sz w:val="24"/>
        </w:rPr>
        <w:t xml:space="preserve"> Предложен метод извлечения информации из неструктурированных текстовых документов, в котором выбор фрагмента и извлечение ответа образуют единую двухэтапную процедуру. Исходная ранжирующая модель формирует ограниченное множество кандидатов. Затем модель повторного ранжирования оценивает для каждой альтернативы ожидаемое изменение F1 по токенам и вероятность ухудшения относительно первого кандидата. Расширенная конфигурация учитывает согласованность ответов, полученных из разных фрагментов, а правило согласованности результатов обучения на TRAIN и TRAIN+VAL выбирает степень участия этого компонента без условий, зависящих от названия корпуса. Метод проверен на англоязычных SciREX и SciER и русскоязычных RuSERRC и SciMDIX. В основном тестовом сравнении, где SciER представлен конфигурацией 384/50, итоговый вариант достиг среднего значения F1 по токенам 56,78 и превзошёл использование только исходного ранжирования на 5,25 пункта. Наибольший добавочный эффект второго этапа получен для SciMDIX и SciER-384: 10,16 и 8,37 пункта соответственно. Компонент согласованности улучшил H2 на длинных англоязычных документах, но снижал качество на SciMDIX; итоговое правило сохранило H3 для четырёх экспериментальных конфигураций и выбрало H2 для SciMDIX. Результаты показывают, что качество системы определяется не только исходной ранжирующей моделью. Существенную роль играет контролируемый выбор между близкими кандидатами с использованием сигналов модели извлечения ответа, лексического согласования и риска переключения.</w:t>
      </w:r>
    </w:p>
    <w:p>
      <w:pPr>
        <w:spacing w:line="240" w:lineRule="auto" w:before="120" w:after="0"/>
        <w:jc w:val="both"/>
      </w:pPr>
      <w:r>
        <w:rPr>
          <w:rFonts w:ascii="Times New Roman" w:hAnsi="Times New Roman" w:eastAsia="Times New Roman"/>
          <w:b/>
          <w:i/>
          <w:sz w:val="24"/>
        </w:rPr>
        <w:t>Ключевые слова:</w:t>
      </w:r>
      <w:r>
        <w:rPr>
          <w:rFonts w:ascii="Times New Roman" w:hAnsi="Times New Roman" w:eastAsia="Times New Roman"/>
          <w:b w:val="0"/>
          <w:i w:val="0"/>
          <w:sz w:val="24"/>
        </w:rPr>
        <w:t xml:space="preserve"> извлечение информации, неструктурированный текст, выбор фрагмента, повторное ранжирование, модель ответа на вопрос, оценка риска, согласованность ответов, обработка естественного языка, вычислительный эксперимент.</w:t>
      </w:r>
    </w:p>
    <w:p>
      <w:pPr>
        <w:spacing w:line="240" w:lineRule="auto" w:before="120" w:after="0"/>
        <w:jc w:val="both"/>
      </w:pPr>
      <w:r>
        <w:rPr>
          <w:rFonts w:ascii="Times New Roman" w:hAnsi="Times New Roman" w:eastAsia="Times New Roman"/>
          <w:b/>
          <w:i/>
          <w:sz w:val="24"/>
        </w:rPr>
        <w:t>Благодарности:</w:t>
      </w:r>
      <w:r>
        <w:rPr>
          <w:rFonts w:ascii="Times New Roman" w:hAnsi="Times New Roman" w:eastAsia="Times New Roman"/>
          <w:b w:val="0"/>
          <w:i w:val="0"/>
          <w:sz w:val="24"/>
        </w:rPr>
        <w:t xml:space="preserve"> [указать при наличии].</w:t>
      </w:r>
    </w:p>
    <w:p>
      <w:pPr>
        <w:spacing w:line="240" w:lineRule="auto" w:before="120" w:after="0"/>
        <w:jc w:val="both"/>
      </w:pPr>
      <w:r>
        <w:rPr>
          <w:rFonts w:ascii="Times New Roman" w:hAnsi="Times New Roman" w:eastAsia="Times New Roman"/>
          <w:b/>
          <w:i/>
          <w:sz w:val="24"/>
        </w:rPr>
        <w:t>Для цитирования:</w:t>
      </w:r>
      <w:r>
        <w:rPr>
          <w:rFonts w:ascii="Times New Roman" w:hAnsi="Times New Roman" w:eastAsia="Times New Roman"/>
          <w:b w:val="0"/>
          <w:i w:val="0"/>
          <w:sz w:val="24"/>
        </w:rPr>
        <w:t xml:space="preserve"> [Фамилия И.О.] Метод извлечения информации из неструктурированных текстовых документов. Моделирование, оптимизация и информационные технологии. 2026;14(*). DOI: [будет присвоен редакцией].</w:t>
      </w:r>
    </w:p>
    <w:p>
      <w:pPr>
        <w:spacing w:line="240" w:lineRule="auto" w:before="240" w:after="240"/>
        <w:jc w:val="center"/>
      </w:pPr>
      <w:r>
        <w:rPr>
          <w:rFonts w:ascii="Times New Roman" w:hAnsi="Times New Roman" w:eastAsia="Times New Roman"/>
          <w:b/>
          <w:i w:val="0"/>
          <w:sz w:val="32"/>
        </w:rPr>
        <w:t>Information Extraction Method for Unstructured Text Documents</w:t>
      </w:r>
    </w:p>
    <w:p>
      <w:pPr>
        <w:spacing w:line="240" w:lineRule="auto" w:before="0" w:after="120"/>
        <w:jc w:val="center"/>
      </w:pPr>
      <w:r>
        <w:rPr>
          <w:rFonts w:ascii="Times New Roman" w:hAnsi="Times New Roman" w:eastAsia="Times New Roman"/>
          <w:b/>
          <w:i w:val="0"/>
          <w:sz w:val="24"/>
        </w:rPr>
        <w:t>[Author full name]1*</w:t>
      </w:r>
    </w:p>
    <w:p>
      <w:pPr>
        <w:spacing w:line="240" w:lineRule="auto" w:before="0" w:after="0"/>
        <w:jc w:val="center"/>
      </w:pPr>
      <w:r>
        <w:rPr>
          <w:rFonts w:ascii="Times New Roman" w:hAnsi="Times New Roman" w:eastAsia="Times New Roman"/>
          <w:b w:val="0"/>
          <w:i/>
          <w:sz w:val="24"/>
        </w:rPr>
        <w:t>1[Full organization name], [city], [country]</w:t>
      </w:r>
    </w:p>
    <w:p>
      <w:pPr>
        <w:spacing w:line="240" w:lineRule="auto" w:before="120" w:after="0"/>
        <w:jc w:val="both"/>
      </w:pPr>
      <w:r>
        <w:rPr>
          <w:rFonts w:ascii="Times New Roman" w:hAnsi="Times New Roman" w:eastAsia="Times New Roman"/>
          <w:b/>
          <w:i/>
          <w:sz w:val="24"/>
        </w:rPr>
        <w:t>Abstract.</w:t>
      </w:r>
      <w:r>
        <w:rPr>
          <w:rFonts w:ascii="Times New Roman" w:hAnsi="Times New Roman" w:eastAsia="Times New Roman"/>
          <w:b w:val="0"/>
          <w:i w:val="0"/>
          <w:sz w:val="24"/>
        </w:rPr>
        <w:t xml:space="preserve"> The paper presents an information extraction method for unstructured text documents in which fragment selection and answer extraction form a unified two-stage procedure. A corpus-specific base ranking model first produces a fixed candidate set. A second-stage model then estimates the expected change in token-level F1 and the probability of degradation for every alternative relative to the top-ranked fragment. The extended configuration adds answer-agreement features. A consistency rule compares the coefficient selected on TRAIN with the coefficient obtained after TRAIN+VAL retraining and determines whether the agreement component should be retained. The method was evaluated on the English SciREX and SciER datasets and on the Russian RuSERRC and SciMDIX datasets. In the main test comparison, where SciER is represented by the 384/50 configuration, the final method achieved a mean token-level F1 of 56.78 and exceeded the base-ranking-only system by 5.25 points. The additional stage produced gains of 10.16 points on SciMDIX and 8.37 on SciER-384. Answer agreement improved H2 for long English documents but reduced performance on SciMDIX; the final rule retained H3 for four experimental configurations and selected H2 for SciMDIX. The results demonstrate that extraction quality depends on both the initial ranking model and controlled candidate switching based on answer, lexical, and risk signals.</w:t>
      </w:r>
    </w:p>
    <w:p>
      <w:pPr>
        <w:spacing w:line="240" w:lineRule="auto" w:before="120" w:after="0"/>
        <w:jc w:val="both"/>
      </w:pPr>
      <w:r>
        <w:rPr>
          <w:rFonts w:ascii="Times New Roman" w:hAnsi="Times New Roman" w:eastAsia="Times New Roman"/>
          <w:b/>
          <w:i/>
          <w:sz w:val="24"/>
        </w:rPr>
        <w:t>Keywords:</w:t>
      </w:r>
      <w:r>
        <w:rPr>
          <w:rFonts w:ascii="Times New Roman" w:hAnsi="Times New Roman" w:eastAsia="Times New Roman"/>
          <w:b w:val="0"/>
          <w:i w:val="0"/>
          <w:sz w:val="24"/>
        </w:rPr>
        <w:t xml:space="preserve"> information extraction, unstructured text, fragment selection, reranking, extractive question answering, risk estimation, answer agreement, natural language processing, computational experiment.</w:t>
      </w:r>
    </w:p>
    <w:p>
      <w:pPr>
        <w:spacing w:line="240" w:lineRule="auto" w:before="120" w:after="0"/>
        <w:jc w:val="both"/>
      </w:pPr>
      <w:r>
        <w:rPr>
          <w:rFonts w:ascii="Times New Roman" w:hAnsi="Times New Roman" w:eastAsia="Times New Roman"/>
          <w:b/>
          <w:i/>
          <w:sz w:val="24"/>
        </w:rPr>
        <w:t>Acknowledgements:</w:t>
      </w:r>
      <w:r>
        <w:rPr>
          <w:rFonts w:ascii="Times New Roman" w:hAnsi="Times New Roman" w:eastAsia="Times New Roman"/>
          <w:b w:val="0"/>
          <w:i w:val="0"/>
          <w:sz w:val="24"/>
        </w:rPr>
        <w:t xml:space="preserve"> [to be provided if applicable].</w:t>
      </w:r>
    </w:p>
    <w:p>
      <w:pPr>
        <w:spacing w:line="240" w:lineRule="auto" w:before="120" w:after="0"/>
        <w:jc w:val="both"/>
      </w:pPr>
      <w:r>
        <w:rPr>
          <w:rFonts w:ascii="Times New Roman" w:hAnsi="Times New Roman" w:eastAsia="Times New Roman"/>
          <w:b/>
          <w:i/>
          <w:sz w:val="24"/>
        </w:rPr>
        <w:t>For citation:</w:t>
      </w:r>
      <w:r>
        <w:rPr>
          <w:rFonts w:ascii="Times New Roman" w:hAnsi="Times New Roman" w:eastAsia="Times New Roman"/>
          <w:b w:val="0"/>
          <w:i w:val="0"/>
          <w:sz w:val="24"/>
        </w:rPr>
        <w:t xml:space="preserve"> [Author surname and initials]. Information Extraction Method for Unstructured Text Documents. Modeling, Optimization and Information Technology. 2026;14(*). (In Russ.). DOI: [to be assigned].</w:t>
      </w:r>
    </w:p>
    <w:p>
      <w:pPr>
        <w:keepNext/>
        <w:spacing w:line="240" w:lineRule="auto" w:before="240" w:after="120"/>
        <w:jc w:val="center"/>
      </w:pPr>
      <w:r>
        <w:rPr>
          <w:rFonts w:ascii="Times New Roman" w:hAnsi="Times New Roman" w:eastAsia="Times New Roman"/>
          <w:b/>
          <w:i w:val="0"/>
          <w:sz w:val="24"/>
        </w:rPr>
        <w:t>Введение</w:t>
      </w:r>
    </w:p>
    <w:p>
      <w:pPr>
        <w:spacing w:line="240" w:lineRule="auto" w:before="0" w:after="0"/>
        <w:ind w:firstLine="709"/>
        <w:jc w:val="both"/>
      </w:pPr>
      <w:r>
        <w:rPr>
          <w:rFonts w:ascii="Times New Roman" w:hAnsi="Times New Roman" w:eastAsia="Times New Roman"/>
          <w:b w:val="0"/>
          <w:i w:val="0"/>
          <w:sz w:val="24"/>
        </w:rPr>
        <w:t>Извлечение сведений из научного или технического документа часто сводят к поиску фрагмента, лексически близкого к запросу. Такое упрощение удобно для построения поискового индекса, но оно не учитывает дальнейшую операцию: из выбранного фрагмента должна быть получена конкретная формулировка ответа. Семантически близкий абзац может содержать общие рассуждения о предмете и не включать требуемый факт. Обратная ситуация также возможна: фрагмент с прямым ответом имеет невысокую оценку сходства из-за терминологического варианта, сокращения или удалённого контекста.</w:t>
      </w:r>
    </w:p>
    <w:p>
      <w:pPr>
        <w:spacing w:line="240" w:lineRule="auto" w:before="0" w:after="0"/>
        <w:ind w:firstLine="709"/>
        <w:jc w:val="both"/>
      </w:pPr>
      <w:r>
        <w:rPr>
          <w:rFonts w:ascii="Times New Roman" w:hAnsi="Times New Roman" w:eastAsia="Times New Roman"/>
          <w:b w:val="0"/>
          <w:i w:val="0"/>
          <w:sz w:val="24"/>
        </w:rPr>
        <w:t>В основу работы положен экстрактивный подход с применением моделей ответа на вопрос. Такая модель возвращает последовательность токенов из предъявленного фрагмента, поэтому результат можно непосредственно сопоставить с исходным документом. Генеративные системы способны формировать более свободный ответ, но требуют авторегрессионного вывода и значительных вычислительных ресурсов; кроме того, для них характерен риск появления правдоподобных сведений, отсутствующих в источнике [15, 16]. Экстрактивная схема не устраняет ошибку выбора контекста, однако не создаёт новый факт вне текста. Для прикладной информационной системы это более лёгкая и проверяемая альтернатива: вместе с ответом сохраняются фрагмент, его координаты и документ-источник.</w:t>
      </w:r>
    </w:p>
    <w:p>
      <w:pPr>
        <w:spacing w:line="240" w:lineRule="auto" w:before="0" w:after="0"/>
        <w:ind w:firstLine="709"/>
        <w:jc w:val="both"/>
      </w:pPr>
      <w:r>
        <w:rPr>
          <w:rFonts w:ascii="Times New Roman" w:hAnsi="Times New Roman" w:eastAsia="Times New Roman"/>
          <w:b w:val="0"/>
          <w:i w:val="0"/>
          <w:sz w:val="24"/>
        </w:rPr>
        <w:t>В моделях открытого поиска проблему сопоставимости кандидатов решают глобальной нормализацией [1], агрегацией подтверждений [2] и иерархическим поиском [3]. Для документов большой длины применяются контрастное обучение и признаки, связанные с локализацией ответа [4, 5]. Эти подходы показывают, что качество поиска следует оценивать через последующую задачу ответа на вопрос, а не только через близость представлений [6, 7]. Сходный принцип ориентации поиска на требования модели ответа используется в методах отбора и кластеризации подтверждений [13]. Перенос этих идей в поиск внутри заранее известного документа потребовал иной реализации: исходная ранжирующая модель уже сильна, число тематически близких фрагментов велико, а ошибочное переключение может превышать потенциальный выигрыш.</w:t>
      </w:r>
    </w:p>
    <w:p>
      <w:pPr>
        <w:spacing w:line="240" w:lineRule="auto" w:before="0" w:after="0"/>
        <w:ind w:firstLine="709"/>
        <w:jc w:val="both"/>
      </w:pPr>
      <w:r>
        <w:rPr>
          <w:rFonts w:ascii="Times New Roman" w:hAnsi="Times New Roman" w:eastAsia="Times New Roman"/>
          <w:b w:val="0"/>
          <w:i w:val="0"/>
          <w:sz w:val="24"/>
        </w:rPr>
        <w:t>Отдельная трудность состоит в оценке уверенности модели извлечения ответа. Значения, рассчитанные независимо для разных фрагментов, плохо сопоставимы. Несколько фрагментов могут приводить к одинаковому, но неверному ответу. Поэтому согласованность ответов полезна только совместно с оценкой исходного ранга, лексического соответствия и риска ухудшения. Работы о ложных отрицательных контекстах [8], фильтрации сложных отрицательных примеров [9] и очищенном обучении плотного поиска [10] дополнительно показывают, что близкий кандидат нельзя автоматически объявлять ошибочным. Исследования признаков внимания [11, 12] учитывались как методическое ограничение: вес внимания сам по себе не трактовался как доказательство значимости фрагмента.</w:t>
      </w:r>
    </w:p>
    <w:p>
      <w:pPr>
        <w:spacing w:line="240" w:lineRule="auto" w:before="0" w:after="0"/>
        <w:ind w:firstLine="709"/>
        <w:jc w:val="both"/>
      </w:pPr>
      <w:r>
        <w:rPr>
          <w:rFonts w:ascii="Times New Roman" w:hAnsi="Times New Roman" w:eastAsia="Times New Roman"/>
          <w:b w:val="0"/>
          <w:i w:val="0"/>
          <w:sz w:val="24"/>
        </w:rPr>
        <w:t>Цель работы состоит в разработке метода выбора фрагмента неструктурированного документа, который использует сильную исходную ранжирующую модель, но допускает переход к другому кандидату, если ожидаемый выигрыш подтверждён независимыми признаками и риск ухудшения ограничен. В отличие от выбора по одной оценке уверенности, предлагается раздельно моделировать выигрыш и риск переключения. Второй компонент вводит согласованность ответов и правило выбора между базовой и расширенной конфигурациями. Подготовка корпусов, перенос аннотаций, формирование положительных и отрицательных примеров и контроль их непротиворечивости описаны в отдельной статье автора [14].</w:t>
      </w:r>
    </w:p>
    <w:p>
      <w:pPr>
        <w:spacing w:line="240" w:lineRule="auto" w:before="0" w:after="0"/>
        <w:ind w:firstLine="709"/>
        <w:jc w:val="both"/>
      </w:pPr>
      <w:r>
        <w:rPr>
          <w:rFonts w:ascii="Times New Roman" w:hAnsi="Times New Roman" w:eastAsia="Times New Roman"/>
          <w:b w:val="0"/>
          <w:i w:val="0"/>
          <w:sz w:val="24"/>
        </w:rPr>
        <w:t>Научная новизна состоит в объединении относительного описания кандидата, раздельных моделей ожидаемого выигрыша и риска и согласованного выбора степени участия признаков ответов на двух этапах обучения. Практический результат представлен программным конвейером с общей схемой обучения для английских и русских наборов данных. Языково-зависимыми остаются исходная ранжирующая модель, модель извлечения ответа и параметры сегментации.</w:t>
      </w:r>
    </w:p>
    <w:p>
      <w:pPr>
        <w:keepNext/>
        <w:spacing w:line="240" w:lineRule="auto" w:before="240" w:after="120"/>
        <w:jc w:val="center"/>
      </w:pPr>
      <w:r>
        <w:rPr>
          <w:rFonts w:ascii="Times New Roman" w:hAnsi="Times New Roman" w:eastAsia="Times New Roman"/>
          <w:b/>
          <w:i w:val="0"/>
          <w:sz w:val="24"/>
        </w:rPr>
        <w:t>Материалы и методы</w:t>
      </w:r>
    </w:p>
    <w:p>
      <w:pPr>
        <w:keepNext/>
        <w:spacing w:line="240" w:lineRule="auto" w:before="120" w:after="60"/>
        <w:jc w:val="left"/>
      </w:pPr>
      <w:r>
        <w:rPr>
          <w:rFonts w:ascii="Times New Roman" w:hAnsi="Times New Roman" w:eastAsia="Times New Roman"/>
          <w:b/>
          <w:i w:val="0"/>
          <w:sz w:val="24"/>
        </w:rPr>
        <w:t>Постановка задачи</w:t>
      </w:r>
    </w:p>
    <w:p>
      <w:pPr>
        <w:spacing w:line="240" w:lineRule="auto" w:before="0" w:after="0"/>
        <w:ind w:firstLine="709"/>
        <w:jc w:val="both"/>
      </w:pPr>
      <w:r>
        <w:rPr>
          <w:rFonts w:ascii="Times New Roman" w:hAnsi="Times New Roman" w:eastAsia="Times New Roman"/>
          <w:b w:val="0"/>
          <w:i w:val="0"/>
          <w:sz w:val="24"/>
        </w:rPr>
        <w:t>Пусть d обозначает документ, q - вопрос к заданному аспекту, а C(d) = {c1, ..., cn} - множество фрагментов документа. Исходная ранжирующая модель B0 вычисляет оценку r(q, ci) и возвращает K лучших кандидатов. Для каждого из них модель извлечения ответа формирует текст ai, оценку уверенности pi и дополнительные характеристики ответа. Требуется выбрать один фрагмент c* и ответ a* так, чтобы максимизировать ожидаемое значение F1 по токенам.</w:t>
      </w:r>
    </w:p>
    <w:p>
      <w:pPr>
        <w:spacing w:line="240" w:lineRule="auto" w:before="0" w:after="0"/>
        <w:ind w:firstLine="709"/>
        <w:jc w:val="both"/>
      </w:pPr>
      <w:r>
        <w:rPr>
          <w:rFonts w:ascii="Times New Roman" w:hAnsi="Times New Roman" w:eastAsia="Times New Roman"/>
          <w:b w:val="0"/>
          <w:i w:val="0"/>
          <w:sz w:val="24"/>
        </w:rPr>
        <w:t>Прямой выбор кандидата с максимальной уверенностью pi не учитывает исходный ранг и может приводить к резким ошибочным переключениям. Поэтому каждый кандидат i &gt; 1 описывается относительно первого кандидата B0. Обозначим через xi вектор разностей и совместных признаков. Целевая величина для модели выигрыша равна изменению качества ответа ΔFi = F1(ai) - F1(a1). Цель модели риска yi принимает значение 1, если переход к кандидату i ухудшает ответ.</w:t>
      </w:r>
    </w:p>
    <w:p>
      <w:pPr>
        <w:spacing w:before="100" w:after="100"/>
        <w:jc w:val="center"/>
      </w:pPr>
      <w:r>
        <w:rPr>
          <w:rFonts w:ascii="Times New Roman" w:hAnsi="Times New Roman" w:eastAsia="Times New Roman"/>
          <w:b w:val="0"/>
          <w:i w:val="0"/>
          <w:sz w:val="22"/>
        </w:rPr>
        <w:t>ΔFᵢ = F1(aᵢ, aᵍᵒˡᵈ) - F1(a₁, aᵍᵒˡᵈ)                         (1)</w:t>
      </w:r>
    </w:p>
    <w:p>
      <w:pPr>
        <w:spacing w:line="240" w:lineRule="auto" w:before="0" w:after="0"/>
        <w:ind w:firstLine="709"/>
        <w:jc w:val="both"/>
      </w:pPr>
      <w:r>
        <w:rPr>
          <w:rFonts w:ascii="Times New Roman" w:hAnsi="Times New Roman" w:eastAsia="Times New Roman"/>
          <w:b w:val="0"/>
          <w:i w:val="0"/>
          <w:sz w:val="24"/>
        </w:rPr>
        <w:t>где ΔFᵢ - изменение качества при переходе к кандидату i; aᵢ - ответ из этого кандидата; a₁ - ответ из первого фрагмента B0; aᵍᵒˡᵈ - эталонный ответ; F1 - коэффициент совпадения по токенам.</w:t>
      </w:r>
    </w:p>
    <w:p>
      <w:pPr>
        <w:spacing w:line="240" w:lineRule="auto" w:before="0" w:after="0"/>
        <w:ind w:firstLine="709"/>
        <w:jc w:val="both"/>
      </w:pPr>
      <w:r>
        <w:rPr>
          <w:rFonts w:ascii="Times New Roman" w:hAnsi="Times New Roman" w:eastAsia="Times New Roman"/>
          <w:b w:val="0"/>
          <w:i w:val="0"/>
          <w:sz w:val="24"/>
        </w:rPr>
        <w:t>Общее различие между классическим выбором по максимальной уверенности и предлагаемой двухэтапной схемой показано на рисунке 1.</w:t>
      </w:r>
    </w:p>
    <w:p>
      <w:pPr>
        <w:spacing w:before="80" w:after="40"/>
        <w:jc w:val="center"/>
      </w:pPr>
      <w:r>
        <w:drawing>
          <wp:inline xmlns:a="http://schemas.openxmlformats.org/drawingml/2006/main" xmlns:pic="http://schemas.openxmlformats.org/drawingml/2006/picture">
            <wp:extent cx="5623560" cy="2113742"/>
            <wp:docPr id="1" name="Picture 1"/>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5623560" cy="2113742"/>
                    </a:xfrm>
                    <a:prstGeom prst="rect"/>
                  </pic:spPr>
                </pic:pic>
              </a:graphicData>
            </a:graphic>
          </wp:inline>
        </w:drawing>
      </w:r>
    </w:p>
    <w:p>
      <w:pPr>
        <w:spacing w:line="240" w:lineRule="auto" w:before="160" w:after="0"/>
        <w:jc w:val="center"/>
      </w:pPr>
      <w:r>
        <w:rPr>
          <w:rFonts w:ascii="Times New Roman" w:hAnsi="Times New Roman" w:eastAsia="Times New Roman"/>
          <w:b w:val="0"/>
          <w:i w:val="0"/>
          <w:sz w:val="20"/>
        </w:rPr>
        <w:t>Рисунок 1 - Сопоставление классической схемы и предлагаемого метода</w:t>
      </w:r>
    </w:p>
    <w:p>
      <w:pPr>
        <w:spacing w:line="240" w:lineRule="auto" w:before="0" w:after="80"/>
        <w:jc w:val="center"/>
      </w:pPr>
      <w:r>
        <w:rPr>
          <w:rFonts w:ascii="Times New Roman" w:hAnsi="Times New Roman" w:eastAsia="Times New Roman"/>
          <w:b w:val="0"/>
          <w:i w:val="0"/>
          <w:sz w:val="20"/>
        </w:rPr>
        <w:t>Figure 1 - Comparison of the conventional scheme and the proposed method</w:t>
      </w:r>
    </w:p>
    <w:p>
      <w:pPr>
        <w:keepNext/>
        <w:spacing w:line="240" w:lineRule="auto" w:before="120" w:after="60"/>
        <w:jc w:val="left"/>
      </w:pPr>
      <w:r>
        <w:rPr>
          <w:rFonts w:ascii="Times New Roman" w:hAnsi="Times New Roman" w:eastAsia="Times New Roman"/>
          <w:b/>
          <w:i w:val="0"/>
          <w:sz w:val="24"/>
        </w:rPr>
        <w:t>Последовательность разработки метода</w:t>
      </w:r>
    </w:p>
    <w:p>
      <w:pPr>
        <w:spacing w:line="240" w:lineRule="auto" w:before="0" w:after="0"/>
        <w:ind w:firstLine="709"/>
        <w:jc w:val="both"/>
      </w:pPr>
      <w:r>
        <w:rPr>
          <w:rFonts w:ascii="Times New Roman" w:hAnsi="Times New Roman" w:eastAsia="Times New Roman"/>
          <w:b w:val="0"/>
          <w:i w:val="0"/>
          <w:sz w:val="24"/>
        </w:rPr>
        <w:t>Разработка началась с проверки того, где возникает основная потеря качества: на этапе формирования множества кандидатов или при выборе первого фрагмента. В опытах V2-V3 высокий Hit@K сочетался с заметно меньшим Hit@1 и низким F1 ответа. Следовательно, хорошие фрагменты уже находились в ограниченном списке, но исходная оценка релевантности недостаточно различала близкие кандидаты. Это наблюдение определило архитектуру: не заменять поиск, а добавить второй этап поверх зафиксированного списка.</w:t>
      </w:r>
    </w:p>
    <w:p>
      <w:pPr>
        <w:spacing w:line="240" w:lineRule="auto" w:before="0" w:after="0"/>
        <w:ind w:firstLine="709"/>
        <w:jc w:val="both"/>
      </w:pPr>
      <w:r>
        <w:rPr>
          <w:rFonts w:ascii="Times New Roman" w:hAnsi="Times New Roman" w:eastAsia="Times New Roman"/>
          <w:b w:val="0"/>
          <w:i w:val="0"/>
          <w:sz w:val="24"/>
        </w:rPr>
        <w:t>Следующая группа опытов V4-V4.3 проверяла признаки, связанные с возможностью извлечь ответ. Концептуальной основой послужили агрегация подтверждений [2], оценивание поиска через последующую QA-задачу [6, 7] и повторное ранжирование с учётом локализованного ответа [5]. В нашей реализации эти идеи развиты для одного заранее известного документа: вместо глобального обучения новой нейросетевой модели используются относительные признаки кандидатов и компактная модель повторного ранжирования.</w:t>
      </w:r>
    </w:p>
    <w:p>
      <w:pPr>
        <w:spacing w:line="240" w:lineRule="auto" w:before="0" w:after="0"/>
        <w:ind w:firstLine="709"/>
        <w:jc w:val="both"/>
      </w:pPr>
      <w:r>
        <w:rPr>
          <w:rFonts w:ascii="Times New Roman" w:hAnsi="Times New Roman" w:eastAsia="Times New Roman"/>
          <w:b w:val="0"/>
          <w:i w:val="0"/>
          <w:sz w:val="24"/>
        </w:rPr>
        <w:t>Отдельно проверялись семантические, лексические и основанные на внимании сигналы. Механизм внимания исследовался по примеру каскадного согласования [11], но не вошёл в итоговый метод из-за нестабильного эффекта и ограниченной интерпретируемости, отмеченной также в работе [12]. Лексические PairLEX и FullLEX сохранены после абляций, поскольку они давали дополнительную информацию на SciMDIX и части конфигураций SciER.</w:t>
      </w:r>
    </w:p>
    <w:p>
      <w:pPr>
        <w:spacing w:line="240" w:lineRule="auto" w:before="0" w:after="0"/>
        <w:ind w:firstLine="709"/>
        <w:jc w:val="both"/>
      </w:pPr>
      <w:r>
        <w:rPr>
          <w:rFonts w:ascii="Times New Roman" w:hAnsi="Times New Roman" w:eastAsia="Times New Roman"/>
          <w:b w:val="0"/>
          <w:i w:val="0"/>
          <w:sz w:val="24"/>
        </w:rPr>
        <w:t>Прямое суммирование оценок улучшало отдельные наборы данных, но могло ухудшать сильный исходный результат. Поэтому в H2 ожидаемый выигрыш и риск переключения были разделены. H3 стал развитием идей агрегации ответов [2] и группировки согласованных подтверждений [13]: к H2 добавлены три ограниченных признака согласованности. Наконец, различие эффекта H3 между полнотекстовыми статьями и короткими аннотациями привело к правилу согласованности TRAIN и TRAIN+VAL. Последовательность этих решений показана на рисунке 2. Таким образом, заимствовались постановки и типы сигналов, тогда как состав признаков, модели выигрыша и риска и правило устойчивого выбора разработаны в настоящем исследовании.</w:t>
      </w:r>
    </w:p>
    <w:p>
      <w:pPr>
        <w:spacing w:before="80" w:after="40"/>
        <w:jc w:val="center"/>
      </w:pPr>
      <w:r>
        <w:drawing>
          <wp:inline xmlns:a="http://schemas.openxmlformats.org/drawingml/2006/main" xmlns:pic="http://schemas.openxmlformats.org/drawingml/2006/picture">
            <wp:extent cx="5623560" cy="1741186"/>
            <wp:docPr id="2" name="Picture 2"/>
            <wp:cNvGraphicFramePr>
              <a:graphicFrameLocks noChangeAspect="1"/>
            </wp:cNvGraphicFramePr>
            <a:graphic>
              <a:graphicData uri="http://schemas.openxmlformats.org/drawingml/2006/picture">
                <pic:pic>
                  <pic:nvPicPr>
                    <pic:cNvPr id="0" name="method_development.png"/>
                    <pic:cNvPicPr/>
                  </pic:nvPicPr>
                  <pic:blipFill>
                    <a:blip r:embed="rId22"/>
                    <a:stretch>
                      <a:fillRect/>
                    </a:stretch>
                  </pic:blipFill>
                  <pic:spPr>
                    <a:xfrm>
                      <a:off x="0" y="0"/>
                      <a:ext cx="5623560" cy="1741186"/>
                    </a:xfrm>
                    <a:prstGeom prst="rect"/>
                  </pic:spPr>
                </pic:pic>
              </a:graphicData>
            </a:graphic>
          </wp:inline>
        </w:drawing>
      </w:r>
    </w:p>
    <w:p>
      <w:pPr>
        <w:spacing w:line="240" w:lineRule="auto" w:before="160" w:after="0"/>
        <w:jc w:val="center"/>
      </w:pPr>
      <w:r>
        <w:rPr>
          <w:rFonts w:ascii="Times New Roman" w:hAnsi="Times New Roman" w:eastAsia="Times New Roman"/>
          <w:b w:val="0"/>
          <w:i w:val="0"/>
          <w:sz w:val="20"/>
        </w:rPr>
        <w:t>Рисунок 2 - Последовательность разработки и причины добавления компонентов</w:t>
      </w:r>
    </w:p>
    <w:p>
      <w:pPr>
        <w:spacing w:line="240" w:lineRule="auto" w:before="0" w:after="80"/>
        <w:jc w:val="center"/>
      </w:pPr>
      <w:r>
        <w:rPr>
          <w:rFonts w:ascii="Times New Roman" w:hAnsi="Times New Roman" w:eastAsia="Times New Roman"/>
          <w:b w:val="0"/>
          <w:i w:val="0"/>
          <w:sz w:val="20"/>
        </w:rPr>
        <w:t>Figure 2 - Development sequence and reasons for adding components</w:t>
      </w:r>
    </w:p>
    <w:p>
      <w:pPr>
        <w:keepNext/>
        <w:spacing w:line="240" w:lineRule="auto" w:before="120" w:after="60"/>
        <w:jc w:val="left"/>
      </w:pPr>
      <w:r>
        <w:rPr>
          <w:rFonts w:ascii="Times New Roman" w:hAnsi="Times New Roman" w:eastAsia="Times New Roman"/>
          <w:b/>
          <w:i w:val="0"/>
          <w:sz w:val="24"/>
        </w:rPr>
        <w:t>Архитектура метода</w:t>
      </w:r>
    </w:p>
    <w:p>
      <w:pPr>
        <w:spacing w:line="240" w:lineRule="auto" w:before="0" w:after="0"/>
        <w:ind w:firstLine="709"/>
        <w:jc w:val="both"/>
      </w:pPr>
      <w:r>
        <w:rPr>
          <w:rFonts w:ascii="Times New Roman" w:hAnsi="Times New Roman" w:eastAsia="Times New Roman"/>
          <w:b w:val="0"/>
          <w:i w:val="0"/>
          <w:sz w:val="24"/>
        </w:rPr>
        <w:t>Архитектура содержит исходное ранжирование и второй этап контролируемого выбора. Исходная модель решает задачу грубого отбора и фиксирует множество кандидатов. Второй этап не заменяет её и не пересчитывает представления документа; он использует сохранённые оценки B0, результаты модели извлечения ответа и признаки согласования. Такое разделение уменьшает вычислительную стоимость и позволяет независимо менять языковую модель первого этапа.</w:t>
      </w:r>
    </w:p>
    <w:p>
      <w:pPr>
        <w:spacing w:line="240" w:lineRule="auto" w:before="0" w:after="0"/>
        <w:ind w:firstLine="709"/>
        <w:jc w:val="both"/>
      </w:pPr>
      <w:r>
        <w:rPr>
          <w:rFonts w:ascii="Times New Roman" w:hAnsi="Times New Roman" w:eastAsia="Times New Roman"/>
          <w:b w:val="0"/>
          <w:i w:val="0"/>
          <w:sz w:val="24"/>
        </w:rPr>
        <w:t>Базовая конфигурация H2 обучает гребневую регрессию для ожидаемого выигрыша и логистическую регрессию для вероятности ухудшения. Разделение связано с асимметрией ошибок. Небольшой недополученный выигрыш допустим, тогда как переход к явно худшему фрагменту должен блокироваться. Кандидат допускается только при одновременном выполнении двух пороговых условий; при отсутствии допустимой альтернативы сохраняется решение B0.</w:t>
      </w:r>
    </w:p>
    <w:p>
      <w:pPr>
        <w:spacing w:before="100" w:after="100"/>
        <w:jc w:val="center"/>
      </w:pPr>
      <w:r>
        <w:rPr>
          <w:rFonts w:ascii="Times New Roman" w:hAnsi="Times New Roman" w:eastAsia="Times New Roman"/>
          <w:b w:val="0"/>
          <w:i w:val="0"/>
          <w:sz w:val="22"/>
        </w:rPr>
        <w:t>ûᵢ = β₀ + Σⱼ βⱼxᵢⱼ;     ĥᵢ = σ(γ₀ + Σⱼ γⱼxᵢⱼ)                         (2)</w:t>
      </w:r>
    </w:p>
    <w:p>
      <w:pPr>
        <w:spacing w:line="240" w:lineRule="auto" w:before="0" w:after="0"/>
        <w:ind w:firstLine="709"/>
        <w:jc w:val="both"/>
      </w:pPr>
      <w:r>
        <w:rPr>
          <w:rFonts w:ascii="Times New Roman" w:hAnsi="Times New Roman" w:eastAsia="Times New Roman"/>
          <w:b w:val="0"/>
          <w:i w:val="0"/>
          <w:sz w:val="24"/>
        </w:rPr>
        <w:t>где ûᵢ - прогнозируемый выигрыш кандидата i; ĥᵢ - прогнозируемая вероятность ухудшения; xᵢⱼ - значение признака j; β₀ и γ₀ - свободные коэффициенты; βⱼ и γⱼ - обучаемые веса; σ - логистическая функция.</w:t>
      </w:r>
    </w:p>
    <w:p>
      <w:pPr>
        <w:spacing w:before="100" w:after="100"/>
        <w:jc w:val="center"/>
      </w:pPr>
      <w:r>
        <w:rPr>
          <w:rFonts w:ascii="Times New Roman" w:hAnsi="Times New Roman" w:eastAsia="Times New Roman"/>
          <w:b w:val="0"/>
          <w:i w:val="0"/>
          <w:sz w:val="22"/>
        </w:rPr>
        <w:t>c* = arg max ûᵢ, если ûᵢ ≥ τᵤ и ĥᵢ ≤ τₕ; иначе c* = c₁                         (3)</w:t>
      </w:r>
    </w:p>
    <w:p>
      <w:pPr>
        <w:spacing w:line="240" w:lineRule="auto" w:before="0" w:after="0"/>
        <w:ind w:firstLine="709"/>
        <w:jc w:val="both"/>
      </w:pPr>
      <w:r>
        <w:rPr>
          <w:rFonts w:ascii="Times New Roman" w:hAnsi="Times New Roman" w:eastAsia="Times New Roman"/>
          <w:b w:val="0"/>
          <w:i w:val="0"/>
          <w:sz w:val="24"/>
        </w:rPr>
        <w:t>где c* - выбранный фрагмент; τᵤ - минимальный допустимый прогноз выигрыша; τₕ - максимальный допустимый риск; c₁ - первый фрагмент исходного ранжирования. Оператор arg max применяется только к кандидатам, прошедшим оба ограничения.</w:t>
      </w:r>
    </w:p>
    <w:p>
      <w:pPr>
        <w:keepNext/>
        <w:spacing w:line="240" w:lineRule="auto" w:before="120" w:after="60"/>
        <w:jc w:val="left"/>
      </w:pPr>
      <w:r>
        <w:rPr>
          <w:rFonts w:ascii="Times New Roman" w:hAnsi="Times New Roman" w:eastAsia="Times New Roman"/>
          <w:b/>
          <w:i w:val="0"/>
          <w:sz w:val="24"/>
        </w:rPr>
        <w:t>Признаки второго этапа</w:t>
      </w:r>
    </w:p>
    <w:p>
      <w:pPr>
        <w:spacing w:line="240" w:lineRule="auto" w:before="0" w:after="0"/>
        <w:ind w:firstLine="709"/>
        <w:jc w:val="both"/>
      </w:pPr>
      <w:r>
        <w:rPr>
          <w:rFonts w:ascii="Times New Roman" w:hAnsi="Times New Roman" w:eastAsia="Times New Roman"/>
          <w:b w:val="0"/>
          <w:i w:val="0"/>
          <w:sz w:val="24"/>
        </w:rPr>
        <w:t>Группы признаков второго этапа приведены в таблице 1. Признаки вычисляются на одном и том же зафиксированном множестве из K кандидатов. Это условие необходимо для корректной абляции: изменение состава кандидатов не должно подменять эффект второго этапа. Все непрерывные признаки нормируются только по обучающей части соответствующего блока перекрёстной проверки.</w:t>
      </w:r>
    </w:p>
    <w:p>
      <w:pPr>
        <w:spacing w:line="240" w:lineRule="auto" w:before="160" w:after="0"/>
        <w:jc w:val="both"/>
      </w:pPr>
      <w:r>
        <w:rPr>
          <w:rFonts w:ascii="Times New Roman" w:hAnsi="Times New Roman" w:eastAsia="Times New Roman"/>
          <w:b w:val="0"/>
          <w:i w:val="0"/>
          <w:sz w:val="20"/>
        </w:rPr>
        <w:t>Таблица 1 - Группы признаков второго этапа</w:t>
      </w:r>
    </w:p>
    <w:p>
      <w:pPr>
        <w:spacing w:line="240" w:lineRule="auto" w:before="0" w:after="80"/>
        <w:jc w:val="both"/>
      </w:pPr>
      <w:r>
        <w:rPr>
          <w:rFonts w:ascii="Times New Roman" w:hAnsi="Times New Roman" w:eastAsia="Times New Roman"/>
          <w:b w:val="0"/>
          <w:i w:val="0"/>
          <w:sz w:val="20"/>
        </w:rPr>
        <w:t>Table 1 - Second-stage feature groups</w:t>
      </w:r>
    </w:p>
    <w:tbl>
      <w:tblPr>
        <w:tblStyle w:val="afc"/>
        <w:tblW w:type="auto" w:w="0"/>
        <w:jc w:val="center"/>
        <w:tblLayout w:type="autofit"/>
        <w:tblLook w:firstColumn="1" w:firstRow="1" w:lastColumn="0" w:lastRow="0" w:noHBand="0" w:noVBand="1" w:val="04A0"/>
      </w:tblPr>
      <w:tblGrid>
        <w:gridCol w:w="3024"/>
        <w:gridCol w:w="3024"/>
        <w:gridCol w:w="3024"/>
      </w:tblGrid>
      <w:tr>
        <w:tc>
          <w:tcPr>
            <w:tcW w:type="dxa" w:w="1701"/>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Группа</w:t>
            </w:r>
          </w:p>
        </w:tc>
        <w:tc>
          <w:tcPr>
            <w:tcW w:type="dxa" w:w="3458"/>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Содержание</w:t>
            </w:r>
          </w:p>
        </w:tc>
        <w:tc>
          <w:tcPr>
            <w:tcW w:type="dxa" w:w="3345"/>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Назначение</w:t>
            </w:r>
          </w:p>
        </w:tc>
      </w:tr>
      <w:tr>
        <w:tc>
          <w:tcPr>
            <w:tcW w:type="dxa" w:w="1701"/>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Исходное ранжирование</w:t>
            </w:r>
          </w:p>
        </w:tc>
        <w:tc>
          <w:tcPr>
            <w:tcW w:type="dxa" w:w="345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разность нормированных оценок B0; ранг; разрыв между первой и второй позициями; энтропия</w:t>
            </w:r>
          </w:p>
        </w:tc>
        <w:tc>
          <w:tcPr>
            <w:tcW w:type="dxa" w:w="3345"/>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сохранение информации о надёжности первого этапа</w:t>
            </w:r>
          </w:p>
        </w:tc>
      </w:tr>
      <w:tr>
        <w:tc>
          <w:tcPr>
            <w:tcW w:type="dxa" w:w="1701"/>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Ответ на вопрос</w:t>
            </w:r>
          </w:p>
        </w:tc>
        <w:tc>
          <w:tcPr>
            <w:tcW w:type="dxa" w:w="345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разность релевантности по модели ответа; наличие непустого ответа; совместная пустота ответов</w:t>
            </w:r>
          </w:p>
        </w:tc>
        <w:tc>
          <w:tcPr>
            <w:tcW w:type="dxa" w:w="3345"/>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оценка возможности извлечь содержательный ответ</w:t>
            </w:r>
          </w:p>
        </w:tc>
      </w:tr>
      <w:tr>
        <w:tc>
          <w:tcPr>
            <w:tcW w:type="dxa" w:w="1701"/>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Лексическое согласование</w:t>
            </w:r>
          </w:p>
        </w:tc>
        <w:tc>
          <w:tcPr>
            <w:tcW w:type="dxa" w:w="345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PairLEX и FullLEX; взаимодействия с отступом B0</w:t>
            </w:r>
          </w:p>
        </w:tc>
        <w:tc>
          <w:tcPr>
            <w:tcW w:type="dxa" w:w="3345"/>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сопоставление ответа, вопроса и полного контекста</w:t>
            </w:r>
          </w:p>
        </w:tc>
      </w:tr>
      <w:tr>
        <w:tc>
          <w:tcPr>
            <w:tcW w:type="dxa" w:w="1701"/>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Согласованность ответов</w:t>
            </w:r>
          </w:p>
        </w:tc>
        <w:tc>
          <w:tcPr>
            <w:tcW w:type="dxa" w:w="345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изменение согласованности; согласованность, умноженная на отступ; FullLEX, умноженный на согласованность</w:t>
            </w:r>
          </w:p>
        </w:tc>
        <w:tc>
          <w:tcPr>
            <w:tcW w:type="dxa" w:w="3345"/>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выявление ответа, поддержанного несколькими кандидатами</w:t>
            </w:r>
          </w:p>
        </w:tc>
      </w:tr>
      <w:tr>
        <w:tc>
          <w:tcPr>
            <w:tcW w:type="dxa" w:w="1701"/>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Структура списка</w:t>
            </w:r>
          </w:p>
        </w:tc>
        <w:tc>
          <w:tcPr>
            <w:tcW w:type="dxa" w:w="345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эффективное K; нормированный ранг; распределение оценок</w:t>
            </w:r>
          </w:p>
        </w:tc>
        <w:tc>
          <w:tcPr>
            <w:tcW w:type="dxa" w:w="3345"/>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учёт различий длины документа и плотности кандидатов</w:t>
            </w:r>
          </w:p>
        </w:tc>
      </w:tr>
    </w:tbl>
    <w:p>
      <w:pPr>
        <w:spacing w:after="0"/>
      </w:pPr>
    </w:p>
    <w:p>
      <w:pPr>
        <w:spacing w:line="240" w:lineRule="auto" w:before="0" w:after="0"/>
        <w:ind w:firstLine="709"/>
        <w:jc w:val="both"/>
      </w:pPr>
      <w:r>
        <w:rPr>
          <w:rFonts w:ascii="Times New Roman" w:hAnsi="Times New Roman" w:eastAsia="Times New Roman"/>
          <w:b w:val="0"/>
          <w:i w:val="0"/>
          <w:sz w:val="24"/>
        </w:rPr>
        <w:t>Конфигурация H3 полностью сохраняет H2 и добавляет три признака согласованности ответов. Тем самым второй компонент проверяется как ограниченное расширение уже работающей модели, а не как новая несопоставимая архитектура. Согласованность не используется в качестве самостоятельного критерия: её вклад оценивается совместно с отступом B0 и полным лексическим согласованием.</w:t>
      </w:r>
    </w:p>
    <w:p>
      <w:pPr>
        <w:keepNext/>
        <w:spacing w:line="240" w:lineRule="auto" w:before="120" w:after="60"/>
        <w:jc w:val="left"/>
      </w:pPr>
      <w:r>
        <w:rPr>
          <w:rFonts w:ascii="Times New Roman" w:hAnsi="Times New Roman" w:eastAsia="Times New Roman"/>
          <w:b/>
          <w:i w:val="0"/>
          <w:sz w:val="24"/>
        </w:rPr>
        <w:t>Правило согласованности</w:t>
      </w:r>
    </w:p>
    <w:p>
      <w:pPr>
        <w:spacing w:line="240" w:lineRule="auto" w:before="0" w:after="0"/>
        <w:ind w:firstLine="709"/>
        <w:jc w:val="both"/>
      </w:pPr>
      <w:r>
        <w:rPr>
          <w:rFonts w:ascii="Times New Roman" w:hAnsi="Times New Roman" w:eastAsia="Times New Roman"/>
          <w:b w:val="0"/>
          <w:i w:val="0"/>
          <w:sz w:val="24"/>
        </w:rPr>
        <w:t>Для H2 и H3 независимо получают прогнозы выигрыша и риска. Затем они интерполируются одним коэффициентом λ, общим для набора данных. Значение λ = 0 соответствует H2, а λ = 1 полностью сохраняет H3. Проверяются значения 0; 0,25; 0,50; 0,75 и 1. Выбор выполняется по среднему внеблочному F1 по токенам для трёх фиксированных инициализаций.</w:t>
      </w:r>
    </w:p>
    <w:p>
      <w:pPr>
        <w:spacing w:line="240" w:lineRule="auto" w:before="0" w:after="0"/>
        <w:ind w:firstLine="709"/>
        <w:jc w:val="both"/>
      </w:pPr>
      <w:r>
        <w:rPr>
          <w:rFonts w:ascii="Times New Roman" w:hAnsi="Times New Roman" w:eastAsia="Times New Roman"/>
          <w:b w:val="0"/>
          <w:i w:val="0"/>
          <w:sz w:val="24"/>
        </w:rPr>
        <w:t>Чтобы решение не зависело от одного состава обучающей выборки, коэффициент выбирается дважды: на TRAIN и после повторного обучения на TRAIN+VAL. Совпадающее значение принимается. Если значения различаются, используется H3, то есть λ = 1. Правило не содержит исключений по языку, корпусу или имени экспериментальной конфигурации.</w:t>
      </w:r>
    </w:p>
    <w:p>
      <w:pPr>
        <w:spacing w:before="100" w:after="100"/>
        <w:jc w:val="center"/>
      </w:pPr>
      <w:r>
        <w:rPr>
          <w:rFonts w:ascii="Times New Roman" w:hAnsi="Times New Roman" w:eastAsia="Times New Roman"/>
          <w:b w:val="0"/>
          <w:i w:val="0"/>
          <w:sz w:val="22"/>
        </w:rPr>
        <w:t>u(λ) = uH2 + λ(uH3 - uH2);     h(λ) = hH2 + λ(hH3 - hH2)                         (4)</w:t>
      </w:r>
    </w:p>
    <w:p>
      <w:pPr>
        <w:spacing w:line="240" w:lineRule="auto" w:before="0" w:after="0"/>
        <w:ind w:firstLine="709"/>
        <w:jc w:val="both"/>
      </w:pPr>
      <w:r>
        <w:rPr>
          <w:rFonts w:ascii="Times New Roman" w:hAnsi="Times New Roman" w:eastAsia="Times New Roman"/>
          <w:b w:val="0"/>
          <w:i w:val="0"/>
          <w:sz w:val="24"/>
        </w:rPr>
        <w:t>где uH2 и uH3 - прогнозы выигрыша конфигураций H2 и H3; hH2 и hH3 - соответствующие оценки риска; λ - коэффициент участия признаков согласованности ответов.</w:t>
      </w:r>
    </w:p>
    <w:p>
      <w:pPr>
        <w:spacing w:before="100" w:after="100"/>
        <w:jc w:val="center"/>
      </w:pPr>
      <w:r>
        <w:rPr>
          <w:rFonts w:ascii="Times New Roman" w:hAnsi="Times New Roman" w:eastAsia="Times New Roman"/>
          <w:b w:val="0"/>
          <w:i w:val="0"/>
          <w:sz w:val="22"/>
        </w:rPr>
        <w:t>λ* = λTRAIN+VAL, если λTRAIN = λTRAIN+VAL; иначе λ* = 1                         (5)</w:t>
      </w:r>
    </w:p>
    <w:p>
      <w:pPr>
        <w:spacing w:line="240" w:lineRule="auto" w:before="0" w:after="0"/>
        <w:ind w:firstLine="709"/>
        <w:jc w:val="both"/>
      </w:pPr>
      <w:r>
        <w:rPr>
          <w:rFonts w:ascii="Times New Roman" w:hAnsi="Times New Roman" w:eastAsia="Times New Roman"/>
          <w:b w:val="0"/>
          <w:i w:val="0"/>
          <w:sz w:val="24"/>
        </w:rPr>
        <w:t>где λTRAIN - коэффициент, выбранный на обучающей части; λTRAIN+VAL - коэффициент после повторного обучения на объединённых обучающей и проверочной частях; λ* - итоговое значение. При расхождении сохраняется полная конфигурация H3.</w:t>
      </w:r>
    </w:p>
    <w:p>
      <w:pPr>
        <w:keepNext/>
        <w:spacing w:line="240" w:lineRule="auto" w:before="120" w:after="60"/>
        <w:jc w:val="left"/>
      </w:pPr>
      <w:r>
        <w:rPr>
          <w:rFonts w:ascii="Times New Roman" w:hAnsi="Times New Roman" w:eastAsia="Times New Roman"/>
          <w:b/>
          <w:i w:val="0"/>
          <w:sz w:val="24"/>
        </w:rPr>
        <w:t>Обучение и программная реализация</w:t>
      </w:r>
    </w:p>
    <w:p>
      <w:pPr>
        <w:spacing w:line="240" w:lineRule="auto" w:before="0" w:after="0"/>
        <w:ind w:firstLine="709"/>
        <w:jc w:val="both"/>
      </w:pPr>
      <w:r>
        <w:rPr>
          <w:rFonts w:ascii="Times New Roman" w:hAnsi="Times New Roman" w:eastAsia="Times New Roman"/>
          <w:b w:val="0"/>
          <w:i w:val="0"/>
          <w:sz w:val="24"/>
        </w:rPr>
        <w:t>Подбор параметров проводится внутри перекрёстной проверки с группировкой по документам. Фрагменты одного документа не могут одновременно попадать в обучающую и проверочную части. Гребневая регрессия проверяется при α из множества {0,1; 1; 10; 100}, логистическая регрессия - при C из множества {0,01; 0,1; 1}. Порог выигрыша выбирается из {0; 0,25; 0,5; 1; 2}, порог риска - из {0,1; 0,2; 0,3; 0,4; 0,5}.</w:t>
      </w:r>
    </w:p>
    <w:p>
      <w:pPr>
        <w:spacing w:line="240" w:lineRule="auto" w:before="0" w:after="0"/>
        <w:ind w:firstLine="709"/>
        <w:jc w:val="both"/>
      </w:pPr>
      <w:r>
        <w:rPr>
          <w:rFonts w:ascii="Times New Roman" w:hAnsi="Times New Roman" w:eastAsia="Times New Roman"/>
          <w:b w:val="0"/>
          <w:i w:val="0"/>
          <w:sz w:val="24"/>
        </w:rPr>
        <w:t>Для каждого набора данных параметры обучаются заново. Прямой перенос коэффициентов между английскими и русскими корпусами не выполняется. Используются три фиксированных начальных значения генератора псевдослучайных чисел: 42, 43 и 44. Прогнозы сначала усредняются внутри вопроса; выбор наиболее удачной инициализации по тестовой выборке исключён.</w:t>
      </w:r>
    </w:p>
    <w:p>
      <w:pPr>
        <w:spacing w:line="240" w:lineRule="auto" w:before="0" w:after="0"/>
        <w:ind w:firstLine="709"/>
        <w:jc w:val="both"/>
      </w:pPr>
      <w:r>
        <w:rPr>
          <w:rFonts w:ascii="Times New Roman" w:hAnsi="Times New Roman" w:eastAsia="Times New Roman"/>
          <w:b w:val="0"/>
          <w:i w:val="0"/>
          <w:sz w:val="24"/>
        </w:rPr>
        <w:t>Программная реализация разделяет формирование кандидатов, применение модели ответа, вычисление признаков, обучение и итоговый выбор. Промежуточные результаты снабжаются контрольными суммами и идентификаторами версий моделей. Такое устройство позволяет повторно исследовать правило выбора без повторного запуска наиболее ресурсоёмких нейросетевых компонентов.</w:t>
      </w:r>
    </w:p>
    <w:p>
      <w:pPr>
        <w:keepNext/>
        <w:spacing w:line="240" w:lineRule="auto" w:before="120" w:after="60"/>
        <w:jc w:val="left"/>
      </w:pPr>
      <w:r>
        <w:rPr>
          <w:rFonts w:ascii="Times New Roman" w:hAnsi="Times New Roman" w:eastAsia="Times New Roman"/>
          <w:b/>
          <w:i w:val="0"/>
          <w:sz w:val="24"/>
        </w:rPr>
        <w:t>Наборы данных и схема оценки</w:t>
      </w:r>
    </w:p>
    <w:p>
      <w:pPr>
        <w:spacing w:line="240" w:lineRule="auto" w:before="0" w:after="0"/>
        <w:ind w:firstLine="709"/>
        <w:jc w:val="both"/>
      </w:pPr>
      <w:r>
        <w:rPr>
          <w:rFonts w:ascii="Times New Roman" w:hAnsi="Times New Roman" w:eastAsia="Times New Roman"/>
          <w:b w:val="0"/>
          <w:i w:val="0"/>
          <w:sz w:val="24"/>
        </w:rPr>
        <w:t>Состав экспериментальных данных и параметры формирования кандидатов приведены в таблице 2. Эксперимент охватывает полнотекстовые английские документы SciREX и SciER, русскоязычные документы RuSERRC и аннотации SciMDIX. Для SciER отдельно рассматриваются сегментации 384/50 и 128/24; обе конфигурации построены по одним исходным документам и при агрегировании образуют одно семейство. Официальные части TRAIN, DEV и TEST используются там, где они предусмотрены составителями корпуса. Для SciMDIX проверочная часть выделяется только из официальной обучающей части. Для RuSERRC применяется заранее зафиксированное документное отложенное разбиение.</w:t>
      </w:r>
    </w:p>
    <w:p>
      <w:pPr>
        <w:spacing w:line="240" w:lineRule="auto" w:before="160" w:after="0"/>
        <w:jc w:val="both"/>
      </w:pPr>
      <w:r>
        <w:rPr>
          <w:rFonts w:ascii="Times New Roman" w:hAnsi="Times New Roman" w:eastAsia="Times New Roman"/>
          <w:b w:val="0"/>
          <w:i w:val="0"/>
          <w:sz w:val="20"/>
        </w:rPr>
        <w:t>Таблица 2 - Экспериментальные наборы данных</w:t>
      </w:r>
    </w:p>
    <w:p>
      <w:pPr>
        <w:spacing w:line="240" w:lineRule="auto" w:before="0" w:after="80"/>
        <w:jc w:val="both"/>
      </w:pPr>
      <w:r>
        <w:rPr>
          <w:rFonts w:ascii="Times New Roman" w:hAnsi="Times New Roman" w:eastAsia="Times New Roman"/>
          <w:b w:val="0"/>
          <w:i w:val="0"/>
          <w:sz w:val="20"/>
        </w:rPr>
        <w:t>Table 2 - Experimental datasets</w:t>
      </w:r>
    </w:p>
    <w:tbl>
      <w:tblPr>
        <w:tblStyle w:val="afc"/>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247"/>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Набор</w:t>
            </w:r>
          </w:p>
        </w:tc>
        <w:tc>
          <w:tcPr>
            <w:tcW w:type="dxa" w:w="2324"/>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Язык и тип текста</w:t>
            </w:r>
          </w:p>
        </w:tc>
        <w:tc>
          <w:tcPr>
            <w:tcW w:type="dxa" w:w="1928"/>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TRAIN+VAL: документы / вопросы</w:t>
            </w:r>
          </w:p>
        </w:tc>
        <w:tc>
          <w:tcPr>
            <w:tcW w:type="dxa" w:w="567"/>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K</w:t>
            </w:r>
          </w:p>
        </w:tc>
        <w:tc>
          <w:tcPr>
            <w:tcW w:type="dxa" w:w="2438"/>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Особенность</w:t>
            </w:r>
          </w:p>
        </w:tc>
      </w:tr>
      <w:tr>
        <w:tc>
          <w:tcPr>
            <w:tcW w:type="dxa" w:w="1247"/>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SciREX</w:t>
            </w:r>
          </w:p>
        </w:tc>
        <w:tc>
          <w:tcPr>
            <w:tcW w:type="dxa" w:w="232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английский, полные статьи</w:t>
            </w:r>
          </w:p>
        </w:tc>
        <w:tc>
          <w:tcPr>
            <w:tcW w:type="dxa" w:w="192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324 / 612</w:t>
            </w:r>
          </w:p>
        </w:tc>
        <w:tc>
          <w:tcPr>
            <w:tcW w:type="dxa" w:w="56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4</w:t>
            </w:r>
          </w:p>
        </w:tc>
        <w:tc>
          <w:tcPr>
            <w:tcW w:type="dxa" w:w="243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длинный документ, четыре аспекта</w:t>
            </w:r>
          </w:p>
        </w:tc>
      </w:tr>
      <w:tr>
        <w:tc>
          <w:tcPr>
            <w:tcW w:type="dxa" w:w="1247"/>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SciER-384</w:t>
            </w:r>
          </w:p>
        </w:tc>
        <w:tc>
          <w:tcPr>
            <w:tcW w:type="dxa" w:w="232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английский, полные статьи</w:t>
            </w:r>
          </w:p>
        </w:tc>
        <w:tc>
          <w:tcPr>
            <w:tcW w:type="dxa" w:w="192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90 / 250</w:t>
            </w:r>
          </w:p>
        </w:tc>
        <w:tc>
          <w:tcPr>
            <w:tcW w:type="dxa" w:w="56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3</w:t>
            </w:r>
          </w:p>
        </w:tc>
        <w:tc>
          <w:tcPr>
            <w:tcW w:type="dxa" w:w="243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фрагмент 384 токена, перекрытие 50</w:t>
            </w:r>
          </w:p>
        </w:tc>
      </w:tr>
      <w:tr>
        <w:tc>
          <w:tcPr>
            <w:tcW w:type="dxa" w:w="1247"/>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SciER-128</w:t>
            </w:r>
          </w:p>
        </w:tc>
        <w:tc>
          <w:tcPr>
            <w:tcW w:type="dxa" w:w="232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английский, полные статьи</w:t>
            </w:r>
          </w:p>
        </w:tc>
        <w:tc>
          <w:tcPr>
            <w:tcW w:type="dxa" w:w="192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90 / 264</w:t>
            </w:r>
          </w:p>
        </w:tc>
        <w:tc>
          <w:tcPr>
            <w:tcW w:type="dxa" w:w="56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5</w:t>
            </w:r>
          </w:p>
        </w:tc>
        <w:tc>
          <w:tcPr>
            <w:tcW w:type="dxa" w:w="243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фрагмент 128 токенов, перекрытие 24</w:t>
            </w:r>
          </w:p>
        </w:tc>
      </w:tr>
      <w:tr>
        <w:tc>
          <w:tcPr>
            <w:tcW w:type="dxa" w:w="1247"/>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RuSERRC</w:t>
            </w:r>
          </w:p>
        </w:tc>
        <w:tc>
          <w:tcPr>
            <w:tcW w:type="dxa" w:w="232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русский, научно-технические тексты</w:t>
            </w:r>
          </w:p>
        </w:tc>
        <w:tc>
          <w:tcPr>
            <w:tcW w:type="dxa" w:w="192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240 / 408</w:t>
            </w:r>
          </w:p>
        </w:tc>
        <w:tc>
          <w:tcPr>
            <w:tcW w:type="dxa" w:w="56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5</w:t>
            </w:r>
          </w:p>
        </w:tc>
        <w:tc>
          <w:tcPr>
            <w:tcW w:type="dxa" w:w="243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сильное исходное ранжирование</w:t>
            </w:r>
          </w:p>
        </w:tc>
      </w:tr>
      <w:tr>
        <w:tc>
          <w:tcPr>
            <w:tcW w:type="dxa" w:w="1247"/>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SciMDIX</w:t>
            </w:r>
          </w:p>
        </w:tc>
        <w:tc>
          <w:tcPr>
            <w:tcW w:type="dxa" w:w="232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русский, научные аннотации</w:t>
            </w:r>
          </w:p>
        </w:tc>
        <w:tc>
          <w:tcPr>
            <w:tcW w:type="dxa" w:w="192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125 / 185</w:t>
            </w:r>
          </w:p>
        </w:tc>
        <w:tc>
          <w:tcPr>
            <w:tcW w:type="dxa" w:w="56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5</w:t>
            </w:r>
          </w:p>
        </w:tc>
        <w:tc>
          <w:tcPr>
            <w:tcW w:type="dxa" w:w="243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короткие тексты, тематические аспекты</w:t>
            </w:r>
          </w:p>
        </w:tc>
      </w:tr>
    </w:tbl>
    <w:p>
      <w:pPr>
        <w:spacing w:after="0"/>
      </w:pPr>
    </w:p>
    <w:p>
      <w:pPr>
        <w:keepNext/>
        <w:spacing w:line="240" w:lineRule="auto" w:before="120" w:after="60"/>
        <w:jc w:val="left"/>
      </w:pPr>
      <w:r>
        <w:rPr>
          <w:rFonts w:ascii="Times New Roman" w:hAnsi="Times New Roman" w:eastAsia="Times New Roman"/>
          <w:b/>
          <w:i w:val="0"/>
          <w:sz w:val="24"/>
        </w:rPr>
        <w:t>Сравниваемые системы и метрики</w:t>
      </w:r>
    </w:p>
    <w:p>
      <w:pPr>
        <w:spacing w:line="240" w:lineRule="auto" w:before="0" w:after="0"/>
        <w:ind w:firstLine="709"/>
        <w:jc w:val="both"/>
      </w:pPr>
      <w:r>
        <w:rPr>
          <w:rFonts w:ascii="Times New Roman" w:hAnsi="Times New Roman" w:eastAsia="Times New Roman"/>
          <w:b w:val="0"/>
          <w:i w:val="0"/>
          <w:sz w:val="24"/>
        </w:rPr>
        <w:t>Сравнение включает выбор по уверенности среди всех фрагментов B1, применение модели ответа к первому кандидату B0 как B2, выбор по уверенности внутри K кандидатов B3, варианты с зафиксированной моделью BGE B4a и B4b, генеративную модель G1, риск-ориентированный вариант P1, H2, H3 и итоговое правило согласованности. Основная метрика - F1 по токенам в шкале от 0 до 100. Дополнительно рассчитываются точное совпадение, F1 по символам, ROUGE-L, доля попаданий Hit@1 и Hit@K и доля сложных отрицательных примеров на первой позиции HN@1.</w:t>
      </w:r>
    </w:p>
    <w:p>
      <w:pPr>
        <w:spacing w:line="240" w:lineRule="auto" w:before="0" w:after="0"/>
        <w:ind w:firstLine="709"/>
        <w:jc w:val="both"/>
      </w:pPr>
      <w:r>
        <w:rPr>
          <w:rFonts w:ascii="Times New Roman" w:hAnsi="Times New Roman" w:eastAsia="Times New Roman"/>
          <w:b w:val="0"/>
          <w:i w:val="0"/>
          <w:sz w:val="24"/>
        </w:rPr>
        <w:t>Статистические различия оцениваются парным бутстреп-оцениванием на уровне документов с 10 000 повторений. В основном межкорпусном сравнении используется только SciER-384. Эксперимент SciER-128/384 приводится отдельно. В статистическом анализе семейства две конфигурации SciER ресэмплируются согласованно, поэтому одинаковые документы не рассматриваются как независимые наблюдения.</w:t>
      </w:r>
    </w:p>
    <w:p>
      <w:pPr>
        <w:keepNext/>
        <w:spacing w:line="240" w:lineRule="auto" w:before="240" w:after="120"/>
        <w:jc w:val="center"/>
      </w:pPr>
      <w:r>
        <w:rPr>
          <w:rFonts w:ascii="Times New Roman" w:hAnsi="Times New Roman" w:eastAsia="Times New Roman"/>
          <w:b/>
          <w:i w:val="0"/>
          <w:sz w:val="24"/>
        </w:rPr>
        <w:t>Результаты</w:t>
      </w:r>
    </w:p>
    <w:p>
      <w:pPr>
        <w:keepNext/>
        <w:spacing w:line="240" w:lineRule="auto" w:before="120" w:after="60"/>
        <w:jc w:val="left"/>
      </w:pPr>
      <w:r>
        <w:rPr>
          <w:rFonts w:ascii="Times New Roman" w:hAnsi="Times New Roman" w:eastAsia="Times New Roman"/>
          <w:b/>
          <w:i w:val="0"/>
          <w:sz w:val="24"/>
        </w:rPr>
        <w:t>Качество на тестовых выборках</w:t>
      </w:r>
    </w:p>
    <w:p>
      <w:pPr>
        <w:spacing w:line="240" w:lineRule="auto" w:before="0" w:after="0"/>
        <w:ind w:firstLine="709"/>
        <w:jc w:val="both"/>
      </w:pPr>
      <w:r>
        <w:rPr>
          <w:rFonts w:ascii="Times New Roman" w:hAnsi="Times New Roman" w:eastAsia="Times New Roman"/>
          <w:b w:val="0"/>
          <w:i w:val="0"/>
          <w:sz w:val="24"/>
        </w:rPr>
        <w:t>Основное межкорпусное сравнение приведено в таблице 3. Чтобы один набор документов SciER не учитывался дважды, в эту таблицу включена только конфигурация 384/50; SciER-128 рассматривается ниже как отдельный эксперимент по размеру фрагмента. Итоговая конфигурация повысила среднее значение F1 по токенам с 51,53 для B2 до 56,78. Добавочный эффект второго этапа составил 5,25 пункта. Прирост наблюдался на всех четырёх наборах: от 0,54 пункта на RuSERRC до 10,16 пункта на SciMDIX.</w:t>
      </w:r>
    </w:p>
    <w:p>
      <w:pPr>
        <w:spacing w:line="240" w:lineRule="auto" w:before="160" w:after="0"/>
        <w:jc w:val="both"/>
      </w:pPr>
      <w:r>
        <w:rPr>
          <w:rFonts w:ascii="Times New Roman" w:hAnsi="Times New Roman" w:eastAsia="Times New Roman"/>
          <w:b w:val="0"/>
          <w:i w:val="0"/>
          <w:sz w:val="20"/>
        </w:rPr>
        <w:t>Таблица 3 - F1 по токенам в основном тестовом сравнении</w:t>
      </w:r>
    </w:p>
    <w:p>
      <w:pPr>
        <w:spacing w:line="240" w:lineRule="auto" w:before="0" w:after="80"/>
        <w:jc w:val="both"/>
      </w:pPr>
      <w:r>
        <w:rPr>
          <w:rFonts w:ascii="Times New Roman" w:hAnsi="Times New Roman" w:eastAsia="Times New Roman"/>
          <w:b w:val="0"/>
          <w:i w:val="0"/>
          <w:sz w:val="20"/>
        </w:rPr>
        <w:t>Table 3 - Token-level F1 in the main test comparison</w:t>
      </w:r>
    </w:p>
    <w:tbl>
      <w:tblPr>
        <w:tblStyle w:val="afc"/>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2069"/>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5"/>
              </w:rPr>
              <w:t>Система</w:t>
            </w:r>
          </w:p>
        </w:tc>
        <w:tc>
          <w:tcPr>
            <w:tcW w:type="dxa" w:w="1134"/>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5"/>
              </w:rPr>
              <w:t>SciREX</w:t>
            </w:r>
          </w:p>
        </w:tc>
        <w:tc>
          <w:tcPr>
            <w:tcW w:type="dxa" w:w="1276"/>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5"/>
              </w:rPr>
              <w:t>SciER-384</w:t>
            </w:r>
          </w:p>
        </w:tc>
        <w:tc>
          <w:tcPr>
            <w:tcW w:type="dxa" w:w="1134"/>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5"/>
              </w:rPr>
              <w:t>RuSERRC</w:t>
            </w:r>
          </w:p>
        </w:tc>
        <w:tc>
          <w:tcPr>
            <w:tcW w:type="dxa" w:w="1134"/>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5"/>
              </w:rPr>
              <w:t>SciMDIX</w:t>
            </w:r>
          </w:p>
        </w:tc>
        <w:tc>
          <w:tcPr>
            <w:tcW w:type="dxa" w:w="1077"/>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5"/>
              </w:rPr>
              <w:t>Среднее</w:t>
            </w:r>
          </w:p>
        </w:tc>
      </w:tr>
      <w:tr>
        <w:tc>
          <w:tcPr>
            <w:tcW w:type="dxa" w:w="2069"/>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5"/>
              </w:rPr>
              <w:t>B1: максимум уверенности</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14,77</w:t>
            </w:r>
          </w:p>
        </w:tc>
        <w:tc>
          <w:tcPr>
            <w:tcW w:type="dxa" w:w="1276"/>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56,07</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56,55</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33,25</w:t>
            </w:r>
          </w:p>
        </w:tc>
        <w:tc>
          <w:tcPr>
            <w:tcW w:type="dxa" w:w="107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40,16</w:t>
            </w:r>
          </w:p>
        </w:tc>
      </w:tr>
      <w:tr>
        <w:tc>
          <w:tcPr>
            <w:tcW w:type="dxa" w:w="2069"/>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5"/>
              </w:rPr>
              <w:t>B2: первый кандидат B0</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24,10</w:t>
            </w:r>
          </w:p>
        </w:tc>
        <w:tc>
          <w:tcPr>
            <w:tcW w:type="dxa" w:w="1276"/>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63,68</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65,67</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52,67</w:t>
            </w:r>
          </w:p>
        </w:tc>
        <w:tc>
          <w:tcPr>
            <w:tcW w:type="dxa" w:w="107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51,53</w:t>
            </w:r>
          </w:p>
        </w:tc>
      </w:tr>
      <w:tr>
        <w:tc>
          <w:tcPr>
            <w:tcW w:type="dxa" w:w="2069"/>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5"/>
              </w:rPr>
              <w:t>B3: максимум среди K</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19,10</w:t>
            </w:r>
          </w:p>
        </w:tc>
        <w:tc>
          <w:tcPr>
            <w:tcW w:type="dxa" w:w="1276"/>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63,20</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58,21</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38,72</w:t>
            </w:r>
          </w:p>
        </w:tc>
        <w:tc>
          <w:tcPr>
            <w:tcW w:type="dxa" w:w="107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44,81</w:t>
            </w:r>
          </w:p>
        </w:tc>
      </w:tr>
      <w:tr>
        <w:tc>
          <w:tcPr>
            <w:tcW w:type="dxa" w:w="2069"/>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5"/>
              </w:rPr>
              <w:t>B4b: BGE и K кандидатов</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18,46</w:t>
            </w:r>
          </w:p>
        </w:tc>
        <w:tc>
          <w:tcPr>
            <w:tcW w:type="dxa" w:w="1276"/>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60,86</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56,61</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36,86</w:t>
            </w:r>
          </w:p>
        </w:tc>
        <w:tc>
          <w:tcPr>
            <w:tcW w:type="dxa" w:w="107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43,20</w:t>
            </w:r>
          </w:p>
        </w:tc>
      </w:tr>
      <w:tr>
        <w:tc>
          <w:tcPr>
            <w:tcW w:type="dxa" w:w="2069"/>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5"/>
              </w:rPr>
              <w:t>G1: генеративная модель</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17,62</w:t>
            </w:r>
          </w:p>
        </w:tc>
        <w:tc>
          <w:tcPr>
            <w:tcW w:type="dxa" w:w="1276"/>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31,52</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44,82</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27,78</w:t>
            </w:r>
          </w:p>
        </w:tc>
        <w:tc>
          <w:tcPr>
            <w:tcW w:type="dxa" w:w="107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30,44</w:t>
            </w:r>
          </w:p>
        </w:tc>
      </w:tr>
      <w:tr>
        <w:tc>
          <w:tcPr>
            <w:tcW w:type="dxa" w:w="2069"/>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5"/>
              </w:rPr>
              <w:t>H2</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23,82</w:t>
            </w:r>
          </w:p>
        </w:tc>
        <w:tc>
          <w:tcPr>
            <w:tcW w:type="dxa" w:w="1276"/>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65,87</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65,94</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62,83</w:t>
            </w:r>
          </w:p>
        </w:tc>
        <w:tc>
          <w:tcPr>
            <w:tcW w:type="dxa" w:w="107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54,61</w:t>
            </w:r>
          </w:p>
        </w:tc>
      </w:tr>
      <w:tr>
        <w:tc>
          <w:tcPr>
            <w:tcW w:type="dxa" w:w="2069"/>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5"/>
              </w:rPr>
              <w:t>H3</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26,03</w:t>
            </w:r>
          </w:p>
        </w:tc>
        <w:tc>
          <w:tcPr>
            <w:tcW w:type="dxa" w:w="1276"/>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72,04</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66,21</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59,26</w:t>
            </w:r>
          </w:p>
        </w:tc>
        <w:tc>
          <w:tcPr>
            <w:tcW w:type="dxa" w:w="107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55,88</w:t>
            </w:r>
          </w:p>
        </w:tc>
      </w:tr>
      <w:tr>
        <w:tc>
          <w:tcPr>
            <w:tcW w:type="dxa" w:w="2069"/>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5"/>
              </w:rPr>
              <w:t>Итоговое правило</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26,03</w:t>
            </w:r>
          </w:p>
        </w:tc>
        <w:tc>
          <w:tcPr>
            <w:tcW w:type="dxa" w:w="1276"/>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72,04</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66,21</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62,83</w:t>
            </w:r>
          </w:p>
        </w:tc>
        <w:tc>
          <w:tcPr>
            <w:tcW w:type="dxa" w:w="107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5"/>
              </w:rPr>
              <w:t>56,78</w:t>
            </w:r>
          </w:p>
        </w:tc>
      </w:tr>
    </w:tbl>
    <w:p>
      <w:pPr>
        <w:spacing w:after="0"/>
      </w:pPr>
    </w:p>
    <w:p>
      <w:pPr>
        <w:spacing w:line="240" w:lineRule="auto" w:before="0" w:after="0"/>
        <w:ind w:firstLine="709"/>
        <w:jc w:val="both"/>
      </w:pPr>
      <w:r>
        <w:rPr>
          <w:rFonts w:ascii="Times New Roman" w:hAnsi="Times New Roman" w:eastAsia="Times New Roman"/>
          <w:b w:val="0"/>
          <w:i w:val="0"/>
          <w:sz w:val="24"/>
        </w:rPr>
        <w:t>На SciER-384 второй этап дал 8,37 пункта относительно B2, причём H3 превысил H2 на 6,17 пункта. На SciMDIX H2 улучшил B2 на 10,16 пункта, тогда как непосредственное добавление признаков согласованности снизило результат до 59,26. Итоговое правило выбрало λ = 0 и восстановило результат H2. На RuSERRC сильная исходная модель оставила меньше пространства для коррекции; прирост составил 0,54 пункта.</w:t>
      </w:r>
    </w:p>
    <w:p>
      <w:pPr>
        <w:keepNext/>
        <w:spacing w:line="240" w:lineRule="auto" w:before="120" w:after="60"/>
        <w:jc w:val="left"/>
      </w:pPr>
      <w:r>
        <w:rPr>
          <w:rFonts w:ascii="Times New Roman" w:hAnsi="Times New Roman" w:eastAsia="Times New Roman"/>
          <w:b/>
          <w:i w:val="0"/>
          <w:sz w:val="24"/>
        </w:rPr>
        <w:t>Отдельный эксперимент SciER с двумя размерами фрагмента</w:t>
      </w:r>
    </w:p>
    <w:p>
      <w:pPr>
        <w:spacing w:line="240" w:lineRule="auto" w:before="0" w:after="0"/>
        <w:ind w:firstLine="709"/>
        <w:jc w:val="both"/>
      </w:pPr>
      <w:r>
        <w:rPr>
          <w:rFonts w:ascii="Times New Roman" w:hAnsi="Times New Roman" w:eastAsia="Times New Roman"/>
          <w:b w:val="0"/>
          <w:i w:val="0"/>
          <w:sz w:val="24"/>
        </w:rPr>
        <w:t>Влияние сегментации SciER показано в таблице 4. Конфигурации 384/50 и 128/24 используют одни и те же исходные документы, но формируют различное число кандидатов. Более короткий фрагмент повышает результат простого B3, тогда как преимущество H3 над H2 сильнее при длине 384 токена. Это указывает на различие механизмов: уменьшение фрагмента локализует ответ, а согласованность помогает различать крупные тематически близкие разделы.</w:t>
      </w:r>
    </w:p>
    <w:p>
      <w:pPr>
        <w:spacing w:line="240" w:lineRule="auto" w:before="160" w:after="0"/>
        <w:jc w:val="both"/>
      </w:pPr>
      <w:r>
        <w:rPr>
          <w:rFonts w:ascii="Times New Roman" w:hAnsi="Times New Roman" w:eastAsia="Times New Roman"/>
          <w:b w:val="0"/>
          <w:i w:val="0"/>
          <w:sz w:val="20"/>
        </w:rPr>
        <w:t>Таблица 4 - SciER: отдельное сравнение размеров фрагмента</w:t>
      </w:r>
    </w:p>
    <w:p>
      <w:pPr>
        <w:spacing w:line="240" w:lineRule="auto" w:before="0" w:after="80"/>
        <w:jc w:val="both"/>
      </w:pPr>
      <w:r>
        <w:rPr>
          <w:rFonts w:ascii="Times New Roman" w:hAnsi="Times New Roman" w:eastAsia="Times New Roman"/>
          <w:b w:val="0"/>
          <w:i w:val="0"/>
          <w:sz w:val="20"/>
        </w:rPr>
        <w:t>Table 4 - SciER: separate comparison of fragment sizes</w:t>
      </w:r>
    </w:p>
    <w:tbl>
      <w:tblPr>
        <w:tblStyle w:val="afc"/>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984"/>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Система</w:t>
            </w:r>
          </w:p>
        </w:tc>
        <w:tc>
          <w:tcPr>
            <w:tcW w:type="dxa" w:w="1531"/>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SciER-384</w:t>
            </w:r>
          </w:p>
        </w:tc>
        <w:tc>
          <w:tcPr>
            <w:tcW w:type="dxa" w:w="1247"/>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Δ к B2</w:t>
            </w:r>
          </w:p>
        </w:tc>
        <w:tc>
          <w:tcPr>
            <w:tcW w:type="dxa" w:w="1531"/>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SciER-128</w:t>
            </w:r>
          </w:p>
        </w:tc>
        <w:tc>
          <w:tcPr>
            <w:tcW w:type="dxa" w:w="1247"/>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Δ к B2</w:t>
            </w:r>
          </w:p>
        </w:tc>
      </w:tr>
      <w:tr>
        <w:tc>
          <w:tcPr>
            <w:tcW w:type="dxa" w:w="1984"/>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B2</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63,68</w:t>
            </w:r>
          </w:p>
        </w:tc>
        <w:tc>
          <w:tcPr>
            <w:tcW w:type="dxa" w:w="124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0,00</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69,34</w:t>
            </w:r>
          </w:p>
        </w:tc>
        <w:tc>
          <w:tcPr>
            <w:tcW w:type="dxa" w:w="124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0,00</w:t>
            </w:r>
          </w:p>
        </w:tc>
      </w:tr>
      <w:tr>
        <w:tc>
          <w:tcPr>
            <w:tcW w:type="dxa" w:w="1984"/>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B3</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63,20</w:t>
            </w:r>
          </w:p>
        </w:tc>
        <w:tc>
          <w:tcPr>
            <w:tcW w:type="dxa" w:w="124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-0,47</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73,14</w:t>
            </w:r>
          </w:p>
        </w:tc>
        <w:tc>
          <w:tcPr>
            <w:tcW w:type="dxa" w:w="124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+3,80</w:t>
            </w:r>
          </w:p>
        </w:tc>
      </w:tr>
      <w:tr>
        <w:tc>
          <w:tcPr>
            <w:tcW w:type="dxa" w:w="1984"/>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H2</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65,87</w:t>
            </w:r>
          </w:p>
        </w:tc>
        <w:tc>
          <w:tcPr>
            <w:tcW w:type="dxa" w:w="124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+2,19</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70,56</w:t>
            </w:r>
          </w:p>
        </w:tc>
        <w:tc>
          <w:tcPr>
            <w:tcW w:type="dxa" w:w="124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+1,22</w:t>
            </w:r>
          </w:p>
        </w:tc>
      </w:tr>
      <w:tr>
        <w:tc>
          <w:tcPr>
            <w:tcW w:type="dxa" w:w="1984"/>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H3</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72,04</w:t>
            </w:r>
          </w:p>
        </w:tc>
        <w:tc>
          <w:tcPr>
            <w:tcW w:type="dxa" w:w="124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+8,37</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72,71</w:t>
            </w:r>
          </w:p>
        </w:tc>
        <w:tc>
          <w:tcPr>
            <w:tcW w:type="dxa" w:w="124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+3,37</w:t>
            </w:r>
          </w:p>
        </w:tc>
      </w:tr>
      <w:tr>
        <w:tc>
          <w:tcPr>
            <w:tcW w:type="dxa" w:w="1984"/>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Итоговое правило</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72,04</w:t>
            </w:r>
          </w:p>
        </w:tc>
        <w:tc>
          <w:tcPr>
            <w:tcW w:type="dxa" w:w="124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+8,37</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72,71</w:t>
            </w:r>
          </w:p>
        </w:tc>
        <w:tc>
          <w:tcPr>
            <w:tcW w:type="dxa" w:w="124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+3,37</w:t>
            </w:r>
          </w:p>
        </w:tc>
      </w:tr>
    </w:tbl>
    <w:p>
      <w:pPr>
        <w:spacing w:after="0"/>
      </w:pPr>
    </w:p>
    <w:p>
      <w:pPr>
        <w:keepNext/>
        <w:spacing w:line="240" w:lineRule="auto" w:before="120" w:after="60"/>
        <w:jc w:val="left"/>
      </w:pPr>
      <w:r>
        <w:rPr>
          <w:rFonts w:ascii="Times New Roman" w:hAnsi="Times New Roman" w:eastAsia="Times New Roman"/>
          <w:b/>
          <w:i w:val="0"/>
          <w:sz w:val="24"/>
        </w:rPr>
        <w:t>Решения правила согласованности</w:t>
      </w:r>
    </w:p>
    <w:p>
      <w:pPr>
        <w:spacing w:line="240" w:lineRule="auto" w:before="0" w:after="0"/>
        <w:ind w:firstLine="709"/>
        <w:jc w:val="both"/>
      </w:pPr>
      <w:r>
        <w:rPr>
          <w:rFonts w:ascii="Times New Roman" w:hAnsi="Times New Roman" w:eastAsia="Times New Roman"/>
          <w:b w:val="0"/>
          <w:i w:val="0"/>
          <w:sz w:val="24"/>
        </w:rPr>
        <w:t>Решения итогового правила представлены в таблице 5. На тестовых выборках правило согласованности сформировало наилучший агрегированный результат среди исследованных вариантов. Для SciREX и SciER-128 значения λ на двух этапах совпали и сохранили H3. Для SciER-384 и RuSERRC оценки различались, поэтому применён предусмотренный возврат к H3. На SciMDIX оба этапа выбрали λ = 0, что переключило итоговую систему на H2.</w:t>
      </w:r>
    </w:p>
    <w:p>
      <w:pPr>
        <w:spacing w:line="240" w:lineRule="auto" w:before="160" w:after="0"/>
        <w:jc w:val="both"/>
      </w:pPr>
      <w:r>
        <w:rPr>
          <w:rFonts w:ascii="Times New Roman" w:hAnsi="Times New Roman" w:eastAsia="Times New Roman"/>
          <w:b w:val="0"/>
          <w:i w:val="0"/>
          <w:sz w:val="20"/>
        </w:rPr>
        <w:t>Таблица 5 - Выбор ветви итоговым правилом</w:t>
      </w:r>
    </w:p>
    <w:p>
      <w:pPr>
        <w:spacing w:line="240" w:lineRule="auto" w:before="0" w:after="80"/>
        <w:jc w:val="both"/>
      </w:pPr>
      <w:r>
        <w:rPr>
          <w:rFonts w:ascii="Times New Roman" w:hAnsi="Times New Roman" w:eastAsia="Times New Roman"/>
          <w:b w:val="0"/>
          <w:i w:val="0"/>
          <w:sz w:val="20"/>
        </w:rPr>
        <w:t>Table 5 - Branch selection by the final rule</w:t>
      </w:r>
    </w:p>
    <w:tbl>
      <w:tblPr>
        <w:tblStyle w:val="afc"/>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417"/>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Набор</w:t>
            </w:r>
          </w:p>
        </w:tc>
        <w:tc>
          <w:tcPr>
            <w:tcW w:type="dxa" w:w="1304"/>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λ на TRAIN</w:t>
            </w:r>
          </w:p>
        </w:tc>
        <w:tc>
          <w:tcPr>
            <w:tcW w:type="dxa" w:w="1531"/>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λ на TRAIN+VAL</w:t>
            </w:r>
          </w:p>
        </w:tc>
        <w:tc>
          <w:tcPr>
            <w:tcW w:type="dxa" w:w="1191"/>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Итоговое λ</w:t>
            </w:r>
          </w:p>
        </w:tc>
        <w:tc>
          <w:tcPr>
            <w:tcW w:type="dxa" w:w="2494"/>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Выбранная конфигурация</w:t>
            </w:r>
          </w:p>
        </w:tc>
      </w:tr>
      <w:tr>
        <w:tc>
          <w:tcPr>
            <w:tcW w:type="dxa" w:w="1417"/>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SciREX</w:t>
            </w:r>
          </w:p>
        </w:tc>
        <w:tc>
          <w:tcPr>
            <w:tcW w:type="dxa" w:w="130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1,00</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1,00</w:t>
            </w:r>
          </w:p>
        </w:tc>
        <w:tc>
          <w:tcPr>
            <w:tcW w:type="dxa" w:w="119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1,00</w:t>
            </w:r>
          </w:p>
        </w:tc>
        <w:tc>
          <w:tcPr>
            <w:tcW w:type="dxa" w:w="249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H3</w:t>
            </w:r>
          </w:p>
        </w:tc>
      </w:tr>
      <w:tr>
        <w:tc>
          <w:tcPr>
            <w:tcW w:type="dxa" w:w="1417"/>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SciER-128</w:t>
            </w:r>
          </w:p>
        </w:tc>
        <w:tc>
          <w:tcPr>
            <w:tcW w:type="dxa" w:w="130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1,00</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1,00</w:t>
            </w:r>
          </w:p>
        </w:tc>
        <w:tc>
          <w:tcPr>
            <w:tcW w:type="dxa" w:w="119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1,00</w:t>
            </w:r>
          </w:p>
        </w:tc>
        <w:tc>
          <w:tcPr>
            <w:tcW w:type="dxa" w:w="249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H3</w:t>
            </w:r>
          </w:p>
        </w:tc>
      </w:tr>
      <w:tr>
        <w:tc>
          <w:tcPr>
            <w:tcW w:type="dxa" w:w="1417"/>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SciER-384</w:t>
            </w:r>
          </w:p>
        </w:tc>
        <w:tc>
          <w:tcPr>
            <w:tcW w:type="dxa" w:w="130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0,75</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1,00</w:t>
            </w:r>
          </w:p>
        </w:tc>
        <w:tc>
          <w:tcPr>
            <w:tcW w:type="dxa" w:w="119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1,00</w:t>
            </w:r>
          </w:p>
        </w:tc>
        <w:tc>
          <w:tcPr>
            <w:tcW w:type="dxa" w:w="249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H3</w:t>
            </w:r>
          </w:p>
        </w:tc>
      </w:tr>
      <w:tr>
        <w:tc>
          <w:tcPr>
            <w:tcW w:type="dxa" w:w="1417"/>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RuSERRC</w:t>
            </w:r>
          </w:p>
        </w:tc>
        <w:tc>
          <w:tcPr>
            <w:tcW w:type="dxa" w:w="130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1,00</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0,50</w:t>
            </w:r>
          </w:p>
        </w:tc>
        <w:tc>
          <w:tcPr>
            <w:tcW w:type="dxa" w:w="119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1,00</w:t>
            </w:r>
          </w:p>
        </w:tc>
        <w:tc>
          <w:tcPr>
            <w:tcW w:type="dxa" w:w="249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H3</w:t>
            </w:r>
          </w:p>
        </w:tc>
      </w:tr>
      <w:tr>
        <w:tc>
          <w:tcPr>
            <w:tcW w:type="dxa" w:w="1417"/>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SciMDIX</w:t>
            </w:r>
          </w:p>
        </w:tc>
        <w:tc>
          <w:tcPr>
            <w:tcW w:type="dxa" w:w="130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0,00</w:t>
            </w:r>
          </w:p>
        </w:tc>
        <w:tc>
          <w:tcPr>
            <w:tcW w:type="dxa" w:w="153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0,00</w:t>
            </w:r>
          </w:p>
        </w:tc>
        <w:tc>
          <w:tcPr>
            <w:tcW w:type="dxa" w:w="119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0,00</w:t>
            </w:r>
          </w:p>
        </w:tc>
        <w:tc>
          <w:tcPr>
            <w:tcW w:type="dxa" w:w="249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H2</w:t>
            </w:r>
          </w:p>
        </w:tc>
      </w:tr>
    </w:tbl>
    <w:p>
      <w:pPr>
        <w:spacing w:after="0"/>
      </w:pPr>
    </w:p>
    <w:p>
      <w:pPr>
        <w:keepNext/>
        <w:spacing w:line="240" w:lineRule="auto" w:before="120" w:after="60"/>
        <w:jc w:val="left"/>
      </w:pPr>
      <w:r>
        <w:rPr>
          <w:rFonts w:ascii="Times New Roman" w:hAnsi="Times New Roman" w:eastAsia="Times New Roman"/>
          <w:b/>
          <w:i w:val="0"/>
          <w:sz w:val="24"/>
        </w:rPr>
        <w:t>Статистические сопоставления</w:t>
      </w:r>
    </w:p>
    <w:p>
      <w:pPr>
        <w:spacing w:line="240" w:lineRule="auto" w:before="0" w:after="0"/>
        <w:ind w:firstLine="709"/>
        <w:jc w:val="both"/>
      </w:pPr>
      <w:r>
        <w:rPr>
          <w:rFonts w:ascii="Times New Roman" w:hAnsi="Times New Roman" w:eastAsia="Times New Roman"/>
          <w:b w:val="0"/>
          <w:i w:val="0"/>
          <w:sz w:val="24"/>
        </w:rPr>
        <w:t>Парные сопоставления приведены в таблице 6. Они рассчитаны по официальному семейному протоколу, в котором две конфигурации SciER ресэмплируются совместно. H2 надёжно превзошёл выбор по уверенности среди всех фрагментов B1 и вариант B4b. Относительно B2 точечный прирост H2 положителен, однако его доверительный интервал пересекает ноль. Итоговое правило дополнительно улучшило H2 на 1,66 пункта; доверительный интервал этой разности не включал отрицательных значений. Разность между итоговым правилом и H3 составила 0,89 пункта, поскольку изменение затронуло прежде всего SciMDIX.</w:t>
      </w:r>
    </w:p>
    <w:p>
      <w:pPr>
        <w:spacing w:line="240" w:lineRule="auto" w:before="160" w:after="0"/>
        <w:jc w:val="both"/>
      </w:pPr>
      <w:r>
        <w:rPr>
          <w:rFonts w:ascii="Times New Roman" w:hAnsi="Times New Roman" w:eastAsia="Times New Roman"/>
          <w:b w:val="0"/>
          <w:i w:val="0"/>
          <w:sz w:val="20"/>
        </w:rPr>
        <w:t>Таблица 6 - Парные статистические сопоставления</w:t>
      </w:r>
    </w:p>
    <w:p>
      <w:pPr>
        <w:spacing w:line="240" w:lineRule="auto" w:before="0" w:after="80"/>
        <w:jc w:val="both"/>
      </w:pPr>
      <w:r>
        <w:rPr>
          <w:rFonts w:ascii="Times New Roman" w:hAnsi="Times New Roman" w:eastAsia="Times New Roman"/>
          <w:b w:val="0"/>
          <w:i w:val="0"/>
          <w:sz w:val="20"/>
        </w:rPr>
        <w:t>Table 6 - Paired statistical comparisons</w:t>
      </w:r>
    </w:p>
    <w:tbl>
      <w:tblPr>
        <w:tblStyle w:val="afc"/>
        <w:tblW w:type="auto" w:w="0"/>
        <w:jc w:val="center"/>
        <w:tblLayout w:type="autofit"/>
        <w:tblLook w:firstColumn="1" w:firstRow="1" w:lastColumn="0" w:lastRow="0" w:noHBand="0" w:noVBand="1" w:val="04A0"/>
      </w:tblPr>
      <w:tblGrid>
        <w:gridCol w:w="2268"/>
        <w:gridCol w:w="2268"/>
        <w:gridCol w:w="2268"/>
        <w:gridCol w:w="2268"/>
      </w:tblGrid>
      <w:tr>
        <w:tc>
          <w:tcPr>
            <w:tcW w:type="dxa" w:w="2098"/>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Сопоставление</w:t>
            </w:r>
          </w:p>
        </w:tc>
        <w:tc>
          <w:tcPr>
            <w:tcW w:type="dxa" w:w="1361"/>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Δ F1 по токенам</w:t>
            </w:r>
          </w:p>
        </w:tc>
        <w:tc>
          <w:tcPr>
            <w:tcW w:type="dxa" w:w="1474"/>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95% ДИ</w:t>
            </w:r>
          </w:p>
        </w:tc>
        <w:tc>
          <w:tcPr>
            <w:tcW w:type="dxa" w:w="3118"/>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Вывод</w:t>
            </w:r>
          </w:p>
        </w:tc>
      </w:tr>
      <w:tr>
        <w:tc>
          <w:tcPr>
            <w:tcW w:type="dxa" w:w="2098"/>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H2 - B1</w:t>
            </w:r>
          </w:p>
        </w:tc>
        <w:tc>
          <w:tcPr>
            <w:tcW w:type="dxa" w:w="136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+13,87</w:t>
            </w:r>
          </w:p>
        </w:tc>
        <w:tc>
          <w:tcPr>
            <w:tcW w:type="dxa" w:w="147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[6,56; 20,26]</w:t>
            </w:r>
          </w:p>
        </w:tc>
        <w:tc>
          <w:tcPr>
            <w:tcW w:type="dxa" w:w="311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преимущество H2 подтверждено</w:t>
            </w:r>
          </w:p>
        </w:tc>
      </w:tr>
      <w:tr>
        <w:tc>
          <w:tcPr>
            <w:tcW w:type="dxa" w:w="2098"/>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H2 - B2</w:t>
            </w:r>
          </w:p>
        </w:tc>
        <w:tc>
          <w:tcPr>
            <w:tcW w:type="dxa" w:w="136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+2,96</w:t>
            </w:r>
          </w:p>
        </w:tc>
        <w:tc>
          <w:tcPr>
            <w:tcW w:type="dxa" w:w="147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[-0,86; 6,96]</w:t>
            </w:r>
          </w:p>
        </w:tc>
        <w:tc>
          <w:tcPr>
            <w:tcW w:type="dxa" w:w="311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точечный прирост, интервал включает ноль</w:t>
            </w:r>
          </w:p>
        </w:tc>
      </w:tr>
      <w:tr>
        <w:tc>
          <w:tcPr>
            <w:tcW w:type="dxa" w:w="2098"/>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H2 - B3</w:t>
            </w:r>
          </w:p>
        </w:tc>
        <w:tc>
          <w:tcPr>
            <w:tcW w:type="dxa" w:w="136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+9,15</w:t>
            </w:r>
          </w:p>
        </w:tc>
        <w:tc>
          <w:tcPr>
            <w:tcW w:type="dxa" w:w="147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[1,30; 15,98]</w:t>
            </w:r>
          </w:p>
        </w:tc>
        <w:tc>
          <w:tcPr>
            <w:tcW w:type="dxa" w:w="311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преимущество H2 подтверждено</w:t>
            </w:r>
          </w:p>
        </w:tc>
      </w:tr>
      <w:tr>
        <w:tc>
          <w:tcPr>
            <w:tcW w:type="dxa" w:w="2098"/>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H2 - B4b</w:t>
            </w:r>
          </w:p>
        </w:tc>
        <w:tc>
          <w:tcPr>
            <w:tcW w:type="dxa" w:w="136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+12,59</w:t>
            </w:r>
          </w:p>
        </w:tc>
        <w:tc>
          <w:tcPr>
            <w:tcW w:type="dxa" w:w="147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[4,50; 19,32]</w:t>
            </w:r>
          </w:p>
        </w:tc>
        <w:tc>
          <w:tcPr>
            <w:tcW w:type="dxa" w:w="311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преимущество H2 подтверждено</w:t>
            </w:r>
          </w:p>
        </w:tc>
      </w:tr>
      <w:tr>
        <w:tc>
          <w:tcPr>
            <w:tcW w:type="dxa" w:w="2098"/>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Итоговое правило - H2</w:t>
            </w:r>
          </w:p>
        </w:tc>
        <w:tc>
          <w:tcPr>
            <w:tcW w:type="dxa" w:w="136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+1,66</w:t>
            </w:r>
          </w:p>
        </w:tc>
        <w:tc>
          <w:tcPr>
            <w:tcW w:type="dxa" w:w="147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[0,14; 3,08]</w:t>
            </w:r>
          </w:p>
        </w:tc>
        <w:tc>
          <w:tcPr>
            <w:tcW w:type="dxa" w:w="311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добавочный эффект второго компонента</w:t>
            </w:r>
          </w:p>
        </w:tc>
      </w:tr>
      <w:tr>
        <w:tc>
          <w:tcPr>
            <w:tcW w:type="dxa" w:w="2098"/>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Итоговое правило - H3</w:t>
            </w:r>
          </w:p>
        </w:tc>
        <w:tc>
          <w:tcPr>
            <w:tcW w:type="dxa" w:w="136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+0,89</w:t>
            </w:r>
          </w:p>
        </w:tc>
        <w:tc>
          <w:tcPr>
            <w:tcW w:type="dxa" w:w="147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[0,00; 2,94]</w:t>
            </w:r>
          </w:p>
        </w:tc>
        <w:tc>
          <w:tcPr>
            <w:tcW w:type="dxa" w:w="3118"/>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устранено ухудшение на SciMDIX</w:t>
            </w:r>
          </w:p>
        </w:tc>
      </w:tr>
    </w:tbl>
    <w:p>
      <w:pPr>
        <w:spacing w:after="0"/>
      </w:pPr>
    </w:p>
    <w:p>
      <w:pPr>
        <w:keepNext/>
        <w:spacing w:line="240" w:lineRule="auto" w:before="120" w:after="60"/>
        <w:jc w:val="left"/>
      </w:pPr>
      <w:r>
        <w:rPr>
          <w:rFonts w:ascii="Times New Roman" w:hAnsi="Times New Roman" w:eastAsia="Times New Roman"/>
          <w:b/>
          <w:i w:val="0"/>
          <w:sz w:val="24"/>
        </w:rPr>
        <w:t>Качество выбора подтверждающего фрагмента</w:t>
      </w:r>
    </w:p>
    <w:p>
      <w:pPr>
        <w:spacing w:line="240" w:lineRule="auto" w:before="0" w:after="0"/>
        <w:ind w:firstLine="709"/>
        <w:jc w:val="both"/>
      </w:pPr>
      <w:r>
        <w:rPr>
          <w:rFonts w:ascii="Times New Roman" w:hAnsi="Times New Roman" w:eastAsia="Times New Roman"/>
          <w:b w:val="0"/>
          <w:i w:val="0"/>
          <w:sz w:val="24"/>
        </w:rPr>
        <w:t>Дополнительные показатели подтверждают, что второй этап меняет не только формулировку ответа, но и положение подтверждающего фрагмента. На SciER-128 H2 повысил Hit@1 с 0,600 до 0,700, а на SciMDIX - с 0,393 до 0,536; Hit@K составил 1,000 и 0,929 соответственно. На RuSERRC F1 ответа вырос при небольшом снижении Hit@1 с 0,700 до 0,690. Расхождение связано с тем, что бинарная разметка не различает несколько допустимых контекстов и не оценивает качество извлечённой формулировки.</w:t>
      </w:r>
    </w:p>
    <w:p>
      <w:pPr>
        <w:keepNext/>
        <w:spacing w:line="240" w:lineRule="auto" w:before="120" w:after="60"/>
        <w:jc w:val="left"/>
      </w:pPr>
      <w:r>
        <w:rPr>
          <w:rFonts w:ascii="Times New Roman" w:hAnsi="Times New Roman" w:eastAsia="Times New Roman"/>
          <w:b/>
          <w:i w:val="0"/>
          <w:sz w:val="24"/>
        </w:rPr>
        <w:t>Абляционный анализ</w:t>
      </w:r>
    </w:p>
    <w:p>
      <w:pPr>
        <w:spacing w:line="240" w:lineRule="auto" w:before="0" w:after="0"/>
        <w:ind w:firstLine="709"/>
        <w:jc w:val="both"/>
      </w:pPr>
      <w:r>
        <w:rPr>
          <w:rFonts w:ascii="Times New Roman" w:hAnsi="Times New Roman" w:eastAsia="Times New Roman"/>
          <w:b w:val="0"/>
          <w:i w:val="0"/>
          <w:sz w:val="24"/>
        </w:rPr>
        <w:t>Результаты абляционного эксперимента приведены в таблице 7. Абляция H2 показывает, что лексические признаки в среднем полезны, но их эффект неодинаков. Удаление FullLEX снижает агрегированный показатель на 0,83 пункта, удаление PairLEX - на 1,17 пункта. На SciREX FullLEX мешал, а на SciER часть PairLEX-признаков давала отрицательный вклад. Модель риска почти не изменила итоговые ответы. Следовательно, текущая польза второго этапа определяется главным образом моделью ожидаемого выигрыша и согласованием ответа с контекстом; оценка риска остаётся направлением дальнейшего развития.</w:t>
      </w:r>
    </w:p>
    <w:p>
      <w:pPr>
        <w:spacing w:line="240" w:lineRule="auto" w:before="160" w:after="0"/>
        <w:jc w:val="both"/>
      </w:pPr>
      <w:r>
        <w:rPr>
          <w:rFonts w:ascii="Times New Roman" w:hAnsi="Times New Roman" w:eastAsia="Times New Roman"/>
          <w:b w:val="0"/>
          <w:i w:val="0"/>
          <w:sz w:val="20"/>
        </w:rPr>
        <w:t>Таблица 7 - Изменение качества при исключении компонентов H2</w:t>
      </w:r>
    </w:p>
    <w:p>
      <w:pPr>
        <w:spacing w:line="240" w:lineRule="auto" w:before="0" w:after="80"/>
        <w:jc w:val="both"/>
      </w:pPr>
      <w:r>
        <w:rPr>
          <w:rFonts w:ascii="Times New Roman" w:hAnsi="Times New Roman" w:eastAsia="Times New Roman"/>
          <w:b w:val="0"/>
          <w:i w:val="0"/>
          <w:sz w:val="20"/>
        </w:rPr>
        <w:t>Table 7 - Quality change after removing H2 components</w:t>
      </w:r>
    </w:p>
    <w:tbl>
      <w:tblPr>
        <w:tblStyle w:val="afc"/>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2098"/>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Исключённый компонент</w:t>
            </w:r>
          </w:p>
        </w:tc>
        <w:tc>
          <w:tcPr>
            <w:tcW w:type="dxa" w:w="1134"/>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SciREX</w:t>
            </w:r>
          </w:p>
        </w:tc>
        <w:tc>
          <w:tcPr>
            <w:tcW w:type="dxa" w:w="1361"/>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Семейство SciER</w:t>
            </w:r>
          </w:p>
        </w:tc>
        <w:tc>
          <w:tcPr>
            <w:tcW w:type="dxa" w:w="1134"/>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RuSERRC</w:t>
            </w:r>
          </w:p>
        </w:tc>
        <w:tc>
          <w:tcPr>
            <w:tcW w:type="dxa" w:w="1134"/>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SciMDIX</w:t>
            </w:r>
          </w:p>
        </w:tc>
        <w:tc>
          <w:tcPr>
            <w:tcW w:type="dxa" w:w="1191"/>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6"/>
              </w:rPr>
              <w:t>Среднее</w:t>
            </w:r>
          </w:p>
        </w:tc>
      </w:tr>
      <w:tr>
        <w:tc>
          <w:tcPr>
            <w:tcW w:type="dxa" w:w="2098"/>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FullLEX</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+2,39</w:t>
            </w:r>
          </w:p>
        </w:tc>
        <w:tc>
          <w:tcPr>
            <w:tcW w:type="dxa" w:w="136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-0,94</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-0,22</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-4,53</w:t>
            </w:r>
          </w:p>
        </w:tc>
        <w:tc>
          <w:tcPr>
            <w:tcW w:type="dxa" w:w="119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-0,83</w:t>
            </w:r>
          </w:p>
        </w:tc>
      </w:tr>
      <w:tr>
        <w:tc>
          <w:tcPr>
            <w:tcW w:type="dxa" w:w="2098"/>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PairLEX</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-0,85</w:t>
            </w:r>
          </w:p>
        </w:tc>
        <w:tc>
          <w:tcPr>
            <w:tcW w:type="dxa" w:w="136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+2,08</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+0,08</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-5,97</w:t>
            </w:r>
          </w:p>
        </w:tc>
        <w:tc>
          <w:tcPr>
            <w:tcW w:type="dxa" w:w="119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-1,17</w:t>
            </w:r>
          </w:p>
        </w:tc>
      </w:tr>
      <w:tr>
        <w:tc>
          <w:tcPr>
            <w:tcW w:type="dxa" w:w="2098"/>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6"/>
              </w:rPr>
              <w:t>Модель риска</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0,00</w:t>
            </w:r>
          </w:p>
        </w:tc>
        <w:tc>
          <w:tcPr>
            <w:tcW w:type="dxa" w:w="136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-0,47</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0,00</w:t>
            </w:r>
          </w:p>
        </w:tc>
        <w:tc>
          <w:tcPr>
            <w:tcW w:type="dxa" w:w="1134"/>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0,00</w:t>
            </w:r>
          </w:p>
        </w:tc>
        <w:tc>
          <w:tcPr>
            <w:tcW w:type="dxa" w:w="1191"/>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6"/>
              </w:rPr>
              <w:t>-0,12</w:t>
            </w:r>
          </w:p>
        </w:tc>
      </w:tr>
    </w:tbl>
    <w:p>
      <w:pPr>
        <w:spacing w:after="0"/>
      </w:pPr>
    </w:p>
    <w:p>
      <w:pPr>
        <w:spacing w:line="240" w:lineRule="auto" w:before="0" w:after="0"/>
        <w:ind w:firstLine="709"/>
        <w:jc w:val="both"/>
      </w:pPr>
      <w:r>
        <w:rPr>
          <w:rFonts w:ascii="Times New Roman" w:hAnsi="Times New Roman" w:eastAsia="Times New Roman"/>
          <w:b w:val="0"/>
          <w:i w:val="0"/>
          <w:sz w:val="24"/>
        </w:rPr>
        <w:t>Знак в таблице соответствует разности результата после исключения и полного H2. Отрицательное значение означает, что удалённый компонент был полезен. Наиболее выраженная зависимость от лексического согласования наблюдается на SciMDIX, где исходные документы являются краткими аннотациями. Для полнотекстового SciREX важнее сигналы ответа и согласованности между кандидатами.</w:t>
      </w:r>
    </w:p>
    <w:p>
      <w:pPr>
        <w:keepNext/>
        <w:spacing w:line="240" w:lineRule="auto" w:before="240" w:after="120"/>
        <w:jc w:val="center"/>
      </w:pPr>
      <w:r>
        <w:rPr>
          <w:rFonts w:ascii="Times New Roman" w:hAnsi="Times New Roman" w:eastAsia="Times New Roman"/>
          <w:b/>
          <w:i w:val="0"/>
          <w:sz w:val="24"/>
        </w:rPr>
        <w:t>Обсуждение</w:t>
      </w:r>
    </w:p>
    <w:p>
      <w:pPr>
        <w:spacing w:line="240" w:lineRule="auto" w:before="0" w:after="0"/>
        <w:ind w:firstLine="709"/>
        <w:jc w:val="both"/>
      </w:pPr>
      <w:r>
        <w:rPr>
          <w:rFonts w:ascii="Times New Roman" w:hAnsi="Times New Roman" w:eastAsia="Times New Roman"/>
          <w:b w:val="0"/>
          <w:i w:val="0"/>
          <w:sz w:val="24"/>
        </w:rPr>
        <w:t>Полученные результаты подтверждают двухчастную организацию метода. Исходная ранжирующая модель необходима для формирования качественного множества кандидатов. Однако её первый результат не всегда обеспечивает лучший извлекаемый ответ. Второй этап использует свойства задачи, которые отсутствуют в стандартной оценке релевантности: возможность получить непустой ответ, лексическое согласование ответа с вопросом и контекстом, а также совпадение ответов между несколькими фрагментами. Прирост на SciER-384 и SciMDIX показывает, что этот этап не сводится к косметической калибровке исходного ранга.</w:t>
      </w:r>
    </w:p>
    <w:p>
      <w:pPr>
        <w:spacing w:line="240" w:lineRule="auto" w:before="0" w:after="0"/>
        <w:ind w:firstLine="709"/>
        <w:jc w:val="both"/>
      </w:pPr>
      <w:r>
        <w:rPr>
          <w:rFonts w:ascii="Times New Roman" w:hAnsi="Times New Roman" w:eastAsia="Times New Roman"/>
          <w:b w:val="0"/>
          <w:i w:val="0"/>
          <w:sz w:val="24"/>
        </w:rPr>
        <w:t>На длинных документах SciER согласованность помогает различить тематически близкие разделы. Один фрагмент может описывать постановку задачи, другой - процедуру эксперимента, третий - итоговый вывод. Если независимые фрагменты поддерживают одну формулировку ответа, H3 получает дополнительный сигнал. На SciMDIX короткая аннотация содержит меньше независимых подтверждений. Здесь одинаковые ответы могут возникать из-за повторения терминов, поэтому неконтролируемый компонент согласованности ухудшает выбор. Правило согласованности устраняет этот эффект без отдельного условия для SciMDIX.</w:t>
      </w:r>
    </w:p>
    <w:p>
      <w:pPr>
        <w:spacing w:line="240" w:lineRule="auto" w:before="0" w:after="0"/>
        <w:ind w:firstLine="709"/>
        <w:jc w:val="both"/>
      </w:pPr>
      <w:r>
        <w:rPr>
          <w:rFonts w:ascii="Times New Roman" w:hAnsi="Times New Roman" w:eastAsia="Times New Roman"/>
          <w:b w:val="0"/>
          <w:i w:val="0"/>
          <w:sz w:val="24"/>
        </w:rPr>
        <w:t>Сильный результат B3 на SciER-128 показывает границу применимости более сложной схемы. На этой конфигурации простой выбор по уверенности получил 73,14, а итоговый метод - 72,71. Следовательно, нельзя утверждать превосходство на каждом отдельном наборе. Преимущество метода проявляется в устойчивом межкорпусном результате: одна схема сохраняет качество при изменении языка, длины фрагмента и типа документа.</w:t>
      </w:r>
    </w:p>
    <w:p>
      <w:pPr>
        <w:spacing w:line="240" w:lineRule="auto" w:before="0" w:after="0"/>
        <w:ind w:firstLine="709"/>
        <w:jc w:val="both"/>
      </w:pPr>
      <w:r>
        <w:rPr>
          <w:rFonts w:ascii="Times New Roman" w:hAnsi="Times New Roman" w:eastAsia="Times New Roman"/>
          <w:b w:val="0"/>
          <w:i w:val="0"/>
          <w:sz w:val="24"/>
        </w:rPr>
        <w:t>Сравнение с генеративной моделью G1 также требует содержательной трактовки. Низкий результат G1 связан с режимом применения без специализированного обучения и с ограничениями формулировки запроса. Он не доказывает общего превосходства извлекающих моделей над генеративными. Аналогично, специализированная англоязычная ModernBERT после предметного дообучения достигала значительно более высокого качества. Это указывает на комплементарность направлений: предметное обучение модели ответа повышает качество самого извлечения, а разработанный второй этап улучшает выбор контекста для уже имеющейся модели.</w:t>
      </w:r>
    </w:p>
    <w:p>
      <w:pPr>
        <w:spacing w:line="240" w:lineRule="auto" w:before="0" w:after="0"/>
        <w:ind w:firstLine="709"/>
        <w:jc w:val="both"/>
      </w:pPr>
      <w:r>
        <w:rPr>
          <w:rFonts w:ascii="Times New Roman" w:hAnsi="Times New Roman" w:eastAsia="Times New Roman"/>
          <w:b w:val="0"/>
          <w:i w:val="0"/>
          <w:sz w:val="24"/>
        </w:rPr>
        <w:t>Модель риска в текущем варианте влияет на малое число решений. Причина заключается в редкости надёжно размеченных случаев ухудшения и выраженном дисбалансе классов. Усложнение классификатора не решило проблему в дополнительных опытах. Более перспективным представляется накопление контрастных пар, в которых исходный и альтернативный кандидаты близки по тематике, но приводят к ответам разного качества.</w:t>
      </w:r>
    </w:p>
    <w:p>
      <w:pPr>
        <w:spacing w:line="240" w:lineRule="auto" w:before="0" w:after="0"/>
        <w:ind w:firstLine="709"/>
        <w:jc w:val="both"/>
      </w:pPr>
      <w:r>
        <w:rPr>
          <w:rFonts w:ascii="Times New Roman" w:hAnsi="Times New Roman" w:eastAsia="Times New Roman"/>
          <w:b w:val="0"/>
          <w:i w:val="0"/>
          <w:sz w:val="24"/>
        </w:rPr>
        <w:t>Вычислительная стоимость второго этапа ограничена, поскольку нейросетевые ответы для K кандидатов кэшируются, а модели выигрыша и риска являются линейными. Основные затраты приходятся на исходное ранжирование и применение модели извлечения ответа. Повторное обучение правила выбора не требует заново обрабатывать весь корпус. Это свойство важно для информационных систем, в которых документы и языковые модели обновляются с разной периодичностью.</w:t>
      </w:r>
    </w:p>
    <w:p>
      <w:pPr>
        <w:spacing w:line="240" w:lineRule="auto" w:before="0" w:after="0"/>
        <w:ind w:firstLine="709"/>
        <w:jc w:val="both"/>
      </w:pPr>
      <w:r>
        <w:rPr>
          <w:rFonts w:ascii="Times New Roman" w:hAnsi="Times New Roman" w:eastAsia="Times New Roman"/>
          <w:b w:val="0"/>
          <w:i w:val="0"/>
          <w:sz w:val="24"/>
        </w:rPr>
        <w:t>К ограничениям исследования относятся небольшие тестовые выборки SciER и SciMDIX, различие структуры корпусов и зависимость признаков от качества исходной модели ответа. Кроме того, две конфигурации SciER используют одинаковые документы и не могут считаться независимыми подтверждениями. По этой причине в агрегированной оценке они объединяются в одно семейство. Дальнейшая проверка должна включать новые предметные области, отдельное измерение времени без общего кэша и ручной анализ полезных и ошибочных переключений.</w:t>
      </w:r>
    </w:p>
    <w:p>
      <w:pPr>
        <w:keepNext/>
        <w:spacing w:line="240" w:lineRule="auto" w:before="240" w:after="120"/>
        <w:jc w:val="center"/>
      </w:pPr>
      <w:r>
        <w:rPr>
          <w:rFonts w:ascii="Times New Roman" w:hAnsi="Times New Roman" w:eastAsia="Times New Roman"/>
          <w:b/>
          <w:i w:val="0"/>
          <w:sz w:val="24"/>
        </w:rPr>
        <w:t>Заключение</w:t>
      </w:r>
    </w:p>
    <w:p>
      <w:pPr>
        <w:spacing w:line="240" w:lineRule="auto" w:before="0" w:after="0"/>
        <w:ind w:firstLine="709"/>
        <w:jc w:val="both"/>
      </w:pPr>
      <w:r>
        <w:rPr>
          <w:rFonts w:ascii="Times New Roman" w:hAnsi="Times New Roman" w:eastAsia="Times New Roman"/>
          <w:b w:val="0"/>
          <w:i w:val="0"/>
          <w:sz w:val="24"/>
        </w:rPr>
        <w:t>Разработан метод извлечения информации из неструктурированных текстовых документов, объединяющий исходное ранжирование, модель ожидаемого выигрыша, оценку риска и признаки согласованности ответов. Метод сохраняет решение исходной системы, если безопасная альтернатива не обнаружена, и использует единый порядок обучения для английских и русских корпусов.</w:t>
      </w:r>
    </w:p>
    <w:p>
      <w:pPr>
        <w:spacing w:line="240" w:lineRule="auto" w:before="0" w:after="0"/>
        <w:ind w:firstLine="709"/>
        <w:jc w:val="both"/>
      </w:pPr>
      <w:r>
        <w:rPr>
          <w:rFonts w:ascii="Times New Roman" w:hAnsi="Times New Roman" w:eastAsia="Times New Roman"/>
          <w:b w:val="0"/>
          <w:i w:val="0"/>
          <w:sz w:val="24"/>
        </w:rPr>
        <w:t>Тестовое сравнение показало, что итоговое правило согласованности получило лучший агрегированный результат среди рассмотренных вариантов: 56,78 пункта F1 по токенам в основном сравнении с SciER-384. Использование только первого кандидата исходного ранжирования дало 51,53. Добавочный эффект второго этапа составил 5,25 пункта. На SciMDIX и SciER-384 выигрыш относительно B2 достиг 10,16 и 8,37 пункта соответственно. Отдельный опыт SciER-128 дал прирост 3,37 пункта.</w:t>
      </w:r>
    </w:p>
    <w:p>
      <w:pPr>
        <w:spacing w:line="240" w:lineRule="auto" w:before="0" w:after="0"/>
        <w:ind w:firstLine="709"/>
        <w:jc w:val="both"/>
      </w:pPr>
      <w:r>
        <w:rPr>
          <w:rFonts w:ascii="Times New Roman" w:hAnsi="Times New Roman" w:eastAsia="Times New Roman"/>
          <w:b w:val="0"/>
          <w:i w:val="0"/>
          <w:sz w:val="24"/>
        </w:rPr>
        <w:t>Полезность второго компонента зависит от структуры документа. Согласованность ответов улучшает выбор в полнотекстовых английских статьях, но требует ограничения на коротких русскоязычных аннотациях. Сопоставление коэффициентов, выбранных на TRAIN и TRAIN+VAL, позволило сохранить H3 для четырёх конфигураций и использовать H2 для SciMDIX. Тем самым итоговая архитектура сочетает сильную исходную ранжирующую модель и управляемую коррекцию её решения, не вводя отдельных правил для конкретных корпусов.</w:t>
      </w:r>
    </w:p>
    <w:p>
      <w:pPr>
        <w:keepNext/>
        <w:spacing w:line="240" w:lineRule="auto" w:before="240" w:after="120"/>
        <w:jc w:val="center"/>
      </w:pPr>
      <w:r>
        <w:rPr>
          <w:rFonts w:ascii="Times New Roman" w:hAnsi="Times New Roman" w:eastAsia="Times New Roman"/>
          <w:b/>
          <w:i w:val="0"/>
          <w:sz w:val="24"/>
        </w:rPr>
        <w:t>СПИСОК ИСТОЧНИКОВ / REFERENCES</w:t>
      </w:r>
    </w:p>
    <w:p>
      <w:pPr>
        <w:spacing w:line="240" w:lineRule="auto" w:before="0" w:after="0"/>
        <w:ind w:left="425" w:hanging="425"/>
        <w:jc w:val="both"/>
      </w:pPr>
      <w:r>
        <w:rPr>
          <w:rFonts w:ascii="Times New Roman" w:hAnsi="Times New Roman" w:eastAsia="Times New Roman"/>
          <w:b w:val="0"/>
          <w:i w:val="0"/>
          <w:sz w:val="20"/>
        </w:rPr>
        <w:t>1. Wang Z, Ng P, Ma X, Nallapati R, Xiang B. Multi-passage BERT: A Globally Normalized BERT Model for Open-domain Question Answering. Proceedings of EMNLP-IJCNLP. 2019.</w:t>
      </w:r>
    </w:p>
    <w:p>
      <w:pPr>
        <w:spacing w:line="240" w:lineRule="auto" w:before="0" w:after="0"/>
        <w:ind w:left="425" w:hanging="425"/>
        <w:jc w:val="both"/>
      </w:pPr>
      <w:r>
        <w:rPr>
          <w:rFonts w:ascii="Times New Roman" w:hAnsi="Times New Roman" w:eastAsia="Times New Roman"/>
          <w:b w:val="0"/>
          <w:i w:val="0"/>
          <w:sz w:val="20"/>
        </w:rPr>
        <w:t>2. Wang S, Yu M, Jiang J, et al. Evidence Aggregation for Answer Re-Ranking in Open-Domain Question Answering. arXiv:1711.05116. 2017.</w:t>
      </w:r>
    </w:p>
    <w:p>
      <w:pPr>
        <w:spacing w:line="240" w:lineRule="auto" w:before="0" w:after="0"/>
        <w:ind w:left="425" w:hanging="425"/>
        <w:jc w:val="both"/>
      </w:pPr>
      <w:r>
        <w:rPr>
          <w:rFonts w:ascii="Times New Roman" w:hAnsi="Times New Roman" w:eastAsia="Times New Roman"/>
          <w:b w:val="0"/>
          <w:i w:val="0"/>
          <w:sz w:val="20"/>
        </w:rPr>
        <w:t>3. Hashimoto K, Zhou Y, Yavuz S, Xiong C, Yu PS. Dense Hierarchical Retrieval for Open-Domain Question Answering. Findings of EMNLP. 2021.</w:t>
      </w:r>
    </w:p>
    <w:p>
      <w:pPr>
        <w:spacing w:line="240" w:lineRule="auto" w:before="0" w:after="0"/>
        <w:ind w:left="425" w:hanging="425"/>
        <w:jc w:val="both"/>
      </w:pPr>
      <w:r>
        <w:rPr>
          <w:rFonts w:ascii="Times New Roman" w:hAnsi="Times New Roman" w:eastAsia="Times New Roman"/>
          <w:b w:val="0"/>
          <w:i w:val="0"/>
          <w:sz w:val="20"/>
        </w:rPr>
        <w:t>4. Caciularu A, Dagan I, Goldberger J, Cohan A. Long Context Question Answering via Supervised Contrastive Learning. Proceedings of ACL-IJCNLP. 2021.</w:t>
      </w:r>
    </w:p>
    <w:p>
      <w:pPr>
        <w:spacing w:line="240" w:lineRule="auto" w:before="0" w:after="0"/>
        <w:ind w:left="425" w:hanging="425"/>
        <w:jc w:val="both"/>
      </w:pPr>
      <w:r>
        <w:rPr>
          <w:rFonts w:ascii="Times New Roman" w:hAnsi="Times New Roman" w:eastAsia="Times New Roman"/>
          <w:b w:val="0"/>
          <w:i w:val="0"/>
          <w:sz w:val="20"/>
        </w:rPr>
        <w:t>5. Iyer S, Min S, Mehdad Y, Yih W. RECONSIDER: Improved Re-Ranking using Span-Focused Cross-Attention for Open Domain Question Answering. Proceedings of NAACL. 2021. doi:10.18653/v1/2021.naacl-main.100.</w:t>
      </w:r>
    </w:p>
    <w:p>
      <w:pPr>
        <w:spacing w:line="240" w:lineRule="auto" w:before="0" w:after="0"/>
        <w:ind w:left="425" w:hanging="425"/>
        <w:jc w:val="both"/>
      </w:pPr>
      <w:r>
        <w:rPr>
          <w:rFonts w:ascii="Times New Roman" w:hAnsi="Times New Roman" w:eastAsia="Times New Roman"/>
          <w:b w:val="0"/>
          <w:i w:val="0"/>
          <w:sz w:val="20"/>
        </w:rPr>
        <w:t>6. Ferguson J, Hajishirzi H, Dasigi P, Khot T. Retrieval Data Augmentation Informed by Downstream Question Answering Performance. Proceedings of FEVER. 2022. doi:10.18653/v1/2022.fever-1.1.</w:t>
      </w:r>
    </w:p>
    <w:p>
      <w:pPr>
        <w:spacing w:line="240" w:lineRule="auto" w:before="0" w:after="0"/>
        <w:ind w:left="425" w:hanging="425"/>
        <w:jc w:val="both"/>
      </w:pPr>
      <w:r>
        <w:rPr>
          <w:rFonts w:ascii="Times New Roman" w:hAnsi="Times New Roman" w:eastAsia="Times New Roman"/>
          <w:b w:val="0"/>
          <w:i w:val="0"/>
          <w:sz w:val="20"/>
        </w:rPr>
        <w:t>7. Abdumalikov R, Minervini P, Kementchedjhieva Y. Answerability in Retrieval-Augmented Open-Domain Question Answering. arXiv:2403.01461. 2024.</w:t>
      </w:r>
    </w:p>
    <w:p>
      <w:pPr>
        <w:spacing w:line="240" w:lineRule="auto" w:before="0" w:after="0"/>
        <w:ind w:left="425" w:hanging="425"/>
        <w:jc w:val="both"/>
      </w:pPr>
      <w:r>
        <w:rPr>
          <w:rFonts w:ascii="Times New Roman" w:hAnsi="Times New Roman" w:eastAsia="Times New Roman"/>
          <w:b w:val="0"/>
          <w:i w:val="0"/>
          <w:sz w:val="20"/>
        </w:rPr>
        <w:t>8. Ni A, Gardner M, Dasigi P. Mitigating False-Negative Contexts in Multi-document Question Answering with Retrieval Marginalization. Proceedings of EMNLP. 2021. doi:10.18653/v1/2021.emnlp-main.497.</w:t>
      </w:r>
    </w:p>
    <w:p>
      <w:pPr>
        <w:spacing w:line="240" w:lineRule="auto" w:before="0" w:after="0"/>
        <w:ind w:left="425" w:hanging="425"/>
        <w:jc w:val="both"/>
      </w:pPr>
      <w:r>
        <w:rPr>
          <w:rFonts w:ascii="Times New Roman" w:hAnsi="Times New Roman" w:eastAsia="Times New Roman"/>
          <w:b w:val="0"/>
          <w:i w:val="0"/>
          <w:sz w:val="20"/>
        </w:rPr>
        <w:t>9. Shen T, Liu M, Zhou M, Xiong D. Recovering Gold from Black Sand: Multilingual Dense Passage Retrieval with Hard and False Negative Samples. Proceedings of EMNLP. 2022.</w:t>
      </w:r>
    </w:p>
    <w:p>
      <w:pPr>
        <w:spacing w:line="240" w:lineRule="auto" w:before="0" w:after="0"/>
        <w:ind w:left="425" w:hanging="425"/>
        <w:jc w:val="both"/>
      </w:pPr>
      <w:r>
        <w:rPr>
          <w:rFonts w:ascii="Times New Roman" w:hAnsi="Times New Roman" w:eastAsia="Times New Roman"/>
          <w:b w:val="0"/>
          <w:i w:val="0"/>
          <w:sz w:val="20"/>
        </w:rPr>
        <w:t>10. Qu Y, Ding Y, Liu J, et al. RocketQA: An Optimized Training Approach to Dense Passage Retrieval for Open-Domain Question Answering. Proceedings of NAACL. 2021:5835-5847.</w:t>
      </w:r>
    </w:p>
    <w:p>
      <w:pPr>
        <w:spacing w:line="240" w:lineRule="auto" w:before="0" w:after="0"/>
        <w:ind w:left="425" w:hanging="425"/>
        <w:jc w:val="both"/>
      </w:pPr>
      <w:r>
        <w:rPr>
          <w:rFonts w:ascii="Times New Roman" w:hAnsi="Times New Roman" w:eastAsia="Times New Roman"/>
          <w:b w:val="0"/>
          <w:i w:val="0"/>
          <w:sz w:val="20"/>
        </w:rPr>
        <w:t>11. Li Z, Tao C, Feng J, et al. FAA: Fine-grained Attention Alignment for Cascade Document Ranking. Proceedings of ACL. 2023:1688-1700. doi:10.18653/v1/2023.acl-long.94.</w:t>
      </w:r>
    </w:p>
    <w:p>
      <w:pPr>
        <w:spacing w:line="240" w:lineRule="auto" w:before="0" w:after="0"/>
        <w:ind w:left="425" w:hanging="425"/>
        <w:jc w:val="both"/>
      </w:pPr>
      <w:r>
        <w:rPr>
          <w:rFonts w:ascii="Times New Roman" w:hAnsi="Times New Roman" w:eastAsia="Times New Roman"/>
          <w:b w:val="0"/>
          <w:i w:val="0"/>
          <w:sz w:val="20"/>
        </w:rPr>
        <w:t>12. Neely M, Schouten SF, Bleeker MJR, Lucic A. A Song of (Dis)agreement: Evaluating the Evaluation of Explainable Artificial Intelligence in Natural Language Processing. HHAI 2022. 2022:60-78. doi:10.3233/FAIA220190.</w:t>
      </w:r>
    </w:p>
    <w:p>
      <w:pPr>
        <w:spacing w:line="240" w:lineRule="auto" w:before="0" w:after="0"/>
        <w:ind w:left="425" w:hanging="425"/>
        <w:jc w:val="both"/>
      </w:pPr>
      <w:r>
        <w:rPr>
          <w:rFonts w:ascii="Times New Roman" w:hAnsi="Times New Roman" w:eastAsia="Times New Roman"/>
          <w:b w:val="0"/>
          <w:i w:val="0"/>
          <w:sz w:val="20"/>
        </w:rPr>
        <w:t>13. Xin C, Zhou S, Chen X, et al. Aligning Retrieval with Reader Needs: Reader-Centered Passage Selection for Open-Domain Question Answering. Proceedings of COLING. 2025:1000-1012.</w:t>
      </w:r>
    </w:p>
    <w:p>
      <w:pPr>
        <w:spacing w:line="240" w:lineRule="auto" w:before="0" w:after="0"/>
        <w:ind w:left="425" w:hanging="425"/>
        <w:jc w:val="both"/>
      </w:pPr>
      <w:r>
        <w:rPr>
          <w:rFonts w:ascii="Times New Roman" w:hAnsi="Times New Roman" w:eastAsia="Times New Roman"/>
          <w:b w:val="0"/>
          <w:i w:val="0"/>
          <w:sz w:val="20"/>
        </w:rPr>
        <w:t>14. [Фамилия И.О.] Программный конвейер подготовки многоязычных данных для алгоритмов выбора фрагментов научного текста. Рукопись. 2026.</w:t>
      </w:r>
    </w:p>
    <w:p>
      <w:pPr>
        <w:spacing w:line="240" w:lineRule="auto" w:before="0" w:after="0"/>
        <w:ind w:left="425" w:hanging="425"/>
        <w:jc w:val="both"/>
      </w:pPr>
      <w:r>
        <w:rPr>
          <w:rFonts w:ascii="Times New Roman" w:hAnsi="Times New Roman" w:eastAsia="Times New Roman"/>
          <w:b w:val="0"/>
          <w:i w:val="0"/>
          <w:sz w:val="20"/>
        </w:rPr>
        <w:t>15. Ji Z, Lee N, Frieske R, et al. Survey of Hallucination in Natural Language Generation. ACM Computing Surveys. 2023;55(12):1-38. doi:10.1145/3571730.</w:t>
      </w:r>
    </w:p>
    <w:p>
      <w:pPr>
        <w:spacing w:line="240" w:lineRule="auto" w:before="0" w:after="0"/>
        <w:ind w:left="425" w:hanging="425"/>
        <w:jc w:val="both"/>
      </w:pPr>
      <w:r>
        <w:rPr>
          <w:rFonts w:ascii="Times New Roman" w:hAnsi="Times New Roman" w:eastAsia="Times New Roman"/>
          <w:b w:val="0"/>
          <w:i w:val="0"/>
          <w:sz w:val="20"/>
        </w:rPr>
        <w:t>16. Lewis P, Perez E, Piktus A, et al. Retrieval-Augmented Generation for Knowledge-Intensive NLP Tasks. Advances in Neural Information Processing Systems. 2020;33:9459-9474.</w:t>
      </w:r>
    </w:p>
    <w:p>
      <w:pPr>
        <w:keepNext/>
        <w:spacing w:line="240" w:lineRule="auto" w:before="240" w:after="120"/>
        <w:jc w:val="center"/>
      </w:pPr>
      <w:r>
        <w:rPr>
          <w:rFonts w:ascii="Times New Roman" w:hAnsi="Times New Roman" w:eastAsia="Times New Roman"/>
          <w:b/>
          <w:i w:val="0"/>
          <w:sz w:val="24"/>
        </w:rPr>
        <w:t>ИНФОРМАЦИЯ ОБ АВТОРАХ / INFORMATION ABOUT THE AUTHORS</w:t>
      </w:r>
    </w:p>
    <w:tbl>
      <w:tblPr>
        <w:tblStyle w:val="afc"/>
        <w:tblW w:type="auto" w:w="0"/>
        <w:jc w:val="center"/>
        <w:tblLayout w:type="autofit"/>
        <w:tblLook w:firstColumn="1" w:firstRow="1" w:lastColumn="0" w:lastRow="0" w:noHBand="0" w:noVBand="1" w:val="04A0"/>
      </w:tblPr>
      <w:tblGrid>
        <w:gridCol w:w="4536"/>
        <w:gridCol w:w="4536"/>
      </w:tblGrid>
      <w:tr>
        <w:tc>
          <w:tcPr>
            <w:tcW w:type="dxa" w:w="4252"/>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8"/>
              </w:rPr>
              <w:t>Русский</w:t>
            </w:r>
          </w:p>
        </w:tc>
        <w:tc>
          <w:tcPr>
            <w:tcW w:type="dxa" w:w="4252"/>
            <w:shd w:fill="D9EAF7"/>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i w:val="0"/>
                <w:sz w:val="18"/>
              </w:rPr>
              <w:t>English</w:t>
            </w:r>
          </w:p>
        </w:tc>
      </w:tr>
      <w:tr>
        <w:tc>
          <w:tcPr>
            <w:tcW w:type="dxa" w:w="4252"/>
            <w:tcMar>
              <w:top w:w="55" w:type="dxa"/>
              <w:start w:w="55" w:type="dxa"/>
              <w:bottom w:w="55" w:type="dxa"/>
              <w:end w:w="55" w:type="dxa"/>
            </w:tcMar>
            <w:vAlign w:val="center"/>
          </w:tcPr>
          <w:p>
            <w:pPr>
              <w:spacing w:after="0" w:line="240" w:lineRule="auto"/>
              <w:jc w:val="left"/>
            </w:pPr>
            <w:r/>
            <w:r>
              <w:rPr>
                <w:rFonts w:ascii="Times New Roman" w:hAnsi="Times New Roman" w:eastAsia="Times New Roman"/>
                <w:b w:val="0"/>
                <w:i w:val="0"/>
                <w:sz w:val="18"/>
              </w:rPr>
              <w:t>[Ф.И.О. полностью], [учёная степень, звание, должность], [полное название организации], [город], [страна].</w:t>
              <w:br/>
              <w:t>e-mail: [адрес]</w:t>
              <w:br/>
              <w:t>ORCID: [ссылка]</w:t>
            </w:r>
          </w:p>
        </w:tc>
        <w:tc>
          <w:tcPr>
            <w:tcW w:type="dxa" w:w="4252"/>
            <w:tcMar>
              <w:top w:w="55" w:type="dxa"/>
              <w:start w:w="55" w:type="dxa"/>
              <w:bottom w:w="55" w:type="dxa"/>
              <w:end w:w="55" w:type="dxa"/>
            </w:tcMar>
            <w:vAlign w:val="center"/>
          </w:tcPr>
          <w:p>
            <w:pPr>
              <w:spacing w:after="0" w:line="240" w:lineRule="auto"/>
              <w:jc w:val="center"/>
            </w:pPr>
            <w:r/>
            <w:r>
              <w:rPr>
                <w:rFonts w:ascii="Times New Roman" w:hAnsi="Times New Roman" w:eastAsia="Times New Roman"/>
                <w:b w:val="0"/>
                <w:i w:val="0"/>
                <w:sz w:val="18"/>
              </w:rPr>
              <w:t>[Full name], [academic degree, title, position], [full organization name], [city], [country].</w:t>
              <w:br/>
              <w:t>e-mail: [address]</w:t>
              <w:br/>
              <w:t>ORCID: [link]</w:t>
            </w:r>
          </w:p>
        </w:tc>
      </w:tr>
    </w:tbl>
    <w:p>
      <w:pPr>
        <w:spacing w:after="0"/>
      </w:pPr>
    </w:p>
    <w:p>
      <w:pPr>
        <w:spacing w:line="240" w:lineRule="auto" w:before="160" w:after="0"/>
        <w:jc w:val="left"/>
      </w:pPr>
      <w:r>
        <w:rPr>
          <w:rFonts w:ascii="Times New Roman" w:hAnsi="Times New Roman" w:eastAsia="Times New Roman"/>
          <w:b w:val="0"/>
          <w:i/>
          <w:sz w:val="20"/>
        </w:rPr>
        <w:t>Статья поступила в редакцию хх.хх.2026; одобрена после рецензирования хх.хх.2026; принята к публикации хх.хх.2026.</w:t>
      </w:r>
    </w:p>
    <w:p>
      <w:pPr>
        <w:spacing w:line="240" w:lineRule="auto" w:before="0" w:after="0"/>
        <w:jc w:val="left"/>
      </w:pPr>
      <w:r>
        <w:rPr>
          <w:rFonts w:ascii="Times New Roman" w:hAnsi="Times New Roman" w:eastAsia="Times New Roman"/>
          <w:b w:val="0"/>
          <w:i/>
          <w:sz w:val="20"/>
        </w:rPr>
        <w:t>The article was submitted xx.xx.2026; approved after reviewing xx.xx.2026; accepted for publication xx.xx.2026.</w:t>
      </w:r>
    </w:p>
    <w:sectPr w:rsidR="00C6418A">
      <w:headerReference w:type="default" r:id="rId15"/>
      <w:footerReference w:type="default" r:id="rId16"/>
      <w:headerReference w:type="first" r:id="rId17"/>
      <w:footerReference w:type="first" r:id="rId18"/>
      <w:footnotePr>
        <w:numRestart w:val="eachPage"/>
      </w:footnotePr>
      <w:pgSz w:w="11906" w:h="16838"/>
      <w:pgMar w:top="1417" w:right="1417" w:bottom="1417" w:left="1417"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FFB49" w14:textId="77777777" w:rsidR="00860920" w:rsidRDefault="00860920">
      <w:pPr>
        <w:spacing w:after="0" w:line="240" w:lineRule="auto"/>
      </w:pPr>
      <w:r>
        <w:separator/>
      </w:r>
    </w:p>
  </w:endnote>
  <w:endnote w:type="continuationSeparator" w:id="0">
    <w:p w14:paraId="30834F6F" w14:textId="77777777" w:rsidR="00860920" w:rsidRDefault="00860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21002A87" w:usb1="00000000" w:usb2="00000000" w:usb3="00000000" w:csb0="0001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CC"/>
    <w:family w:val="roman"/>
    <w:pitch w:val="variable"/>
    <w:sig w:usb0="20000287" w:usb1="00000000"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BB456" w14:textId="16E643AA" w:rsidR="00C6418A" w:rsidRDefault="00093DF7" w:rsidP="00093DF7">
    <w:pPr>
      <w:pStyle w:val="aff1"/>
      <w:tabs>
        <w:tab w:val="clear" w:pos="9355"/>
        <w:tab w:val="right" w:pos="9070"/>
      </w:tabs>
      <w:spacing w:after="240"/>
    </w:pP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sidR="00A3192E">
      <w:rPr>
        <w:rFonts w:ascii="Times New Roman" w:eastAsia="Times New Roman" w:hAnsi="Times New Roman" w:cs="Times New Roman"/>
        <w:lang w:eastAsia="ru-RU"/>
      </w:rPr>
      <w:fldChar w:fldCharType="begin"/>
    </w:r>
    <w:r w:rsidR="00A3192E">
      <w:rPr>
        <w:rFonts w:ascii="Times New Roman" w:eastAsia="Times New Roman" w:hAnsi="Times New Roman" w:cs="Times New Roman"/>
        <w:lang w:eastAsia="ru-RU"/>
      </w:rPr>
      <w:instrText>PAGE</w:instrText>
    </w:r>
    <w:r w:rsidR="00A3192E">
      <w:rPr>
        <w:rFonts w:ascii="Times New Roman" w:eastAsia="Times New Roman" w:hAnsi="Times New Roman" w:cs="Times New Roman"/>
        <w:lang w:eastAsia="ru-RU"/>
      </w:rPr>
      <w:fldChar w:fldCharType="separate"/>
    </w:r>
    <w:r w:rsidR="00A3192E">
      <w:rPr>
        <w:rFonts w:eastAsia="Times New Roman"/>
        <w:lang w:eastAsia="ru-RU"/>
      </w:rPr>
      <w:t>1</w:t>
    </w:r>
    <w:r w:rsidR="00A3192E">
      <w:rPr>
        <w:rFonts w:ascii="Times New Roman" w:eastAsia="Times New Roman" w:hAnsi="Times New Roman" w:cs="Times New Roman"/>
        <w:lang w:val="en-US" w:eastAsia="ru-RU"/>
      </w:rPr>
      <w:fldChar w:fldCharType="end"/>
    </w:r>
    <w:r w:rsidR="00A3192E">
      <w:rPr>
        <w:rFonts w:ascii="Times New Roman" w:eastAsia="Times New Roman" w:hAnsi="Times New Roman" w:cs="Times New Roman"/>
        <w:lang w:eastAsia="ru-RU"/>
      </w:rPr>
      <w:t xml:space="preserve"> | </w:t>
    </w:r>
    <w:r w:rsidR="00A3192E">
      <w:rPr>
        <w:rFonts w:ascii="Times New Roman" w:eastAsia="Times New Roman" w:hAnsi="Times New Roman" w:cs="Times New Roman"/>
        <w:lang w:eastAsia="ru-RU"/>
      </w:rPr>
      <w:fldChar w:fldCharType="begin"/>
    </w:r>
    <w:r w:rsidR="00A3192E">
      <w:rPr>
        <w:rFonts w:ascii="Times New Roman" w:eastAsia="Times New Roman" w:hAnsi="Times New Roman" w:cs="Times New Roman"/>
        <w:lang w:eastAsia="ru-RU"/>
      </w:rPr>
      <w:instrText>NUMPAGES</w:instrText>
    </w:r>
    <w:r w:rsidR="00A3192E">
      <w:rPr>
        <w:rFonts w:ascii="Times New Roman" w:eastAsia="Times New Roman" w:hAnsi="Times New Roman" w:cs="Times New Roman"/>
        <w:lang w:eastAsia="ru-RU"/>
      </w:rPr>
      <w:fldChar w:fldCharType="separate"/>
    </w:r>
    <w:r w:rsidR="00A3192E">
      <w:rPr>
        <w:rFonts w:eastAsia="Times New Roman"/>
        <w:lang w:eastAsia="ru-RU"/>
      </w:rPr>
      <w:t>13</w:t>
    </w:r>
    <w:r w:rsidR="00A3192E">
      <w:rPr>
        <w:rFonts w:ascii="Times New Roman" w:eastAsia="Times New Roman" w:hAnsi="Times New Roman" w:cs="Times New Roman"/>
        <w:lang w:val="en-US" w:eastAsia="ru-R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8BB1E" w14:textId="572FBE60" w:rsidR="00C6418A" w:rsidRDefault="00A3192E" w:rsidP="00FA4EB1">
    <w:pPr>
      <w:pStyle w:val="aff1"/>
      <w:tabs>
        <w:tab w:val="clear" w:pos="9355"/>
        <w:tab w:val="right" w:pos="9070"/>
      </w:tabs>
      <w:spacing w:after="240"/>
    </w:pPr>
    <w:bookmarkStart w:id="24" w:name="_Hlk124857823"/>
    <w:bookmarkStart w:id="25" w:name="_Hlk129958133"/>
    <w:r>
      <w:rPr>
        <w:rFonts w:ascii="Times New Roman" w:eastAsia="Times New Roman" w:hAnsi="Times New Roman" w:cs="Times New Roman"/>
        <w:lang w:eastAsia="ru-RU"/>
      </w:rPr>
      <w:t>©</w:t>
    </w:r>
    <w:bookmarkEnd w:id="24"/>
    <w:r>
      <w:rPr>
        <w:rFonts w:ascii="Times New Roman" w:eastAsia="Times New Roman" w:hAnsi="Times New Roman" w:cs="Times New Roman"/>
        <w:lang w:eastAsia="ru-RU"/>
      </w:rPr>
      <w:t xml:space="preserve"> </w:t>
    </w:r>
    <w:r>
      <w:rPr>
        <w:rFonts w:ascii="Times New Roman" w:hAnsi="Times New Roman" w:cs="Times New Roman"/>
      </w:rPr>
      <w:t>Петров П.П., Иванов И.И., 202</w:t>
    </w:r>
    <w:bookmarkStart w:id="26" w:name="_Hlk127880111"/>
    <w:r w:rsidR="00FA4EB1">
      <w:rPr>
        <w:rFonts w:ascii="Times New Roman" w:hAnsi="Times New Roman" w:cs="Times New Roman"/>
      </w:rPr>
      <w:t>5</w:t>
    </w:r>
    <w:r w:rsidR="00FA4EB1">
      <w:rPr>
        <w:rFonts w:ascii="Times New Roman" w:hAnsi="Times New Roman" w:cs="Times New Roman"/>
      </w:rPr>
      <w:tab/>
    </w:r>
    <w:r w:rsidR="00FA4EB1">
      <w:rPr>
        <w:rFonts w:ascii="Times New Roman" w:hAnsi="Times New Roman" w:cs="Times New Roman"/>
      </w:rPr>
      <w:tab/>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PAGE</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t>2</w:t>
    </w:r>
    <w:r>
      <w:rPr>
        <w:rFonts w:ascii="Times New Roman" w:eastAsia="Times New Roman" w:hAnsi="Times New Roman" w:cs="Times New Roman"/>
        <w:lang w:val="en-US" w:eastAsia="ru-RU"/>
      </w:rPr>
      <w:fldChar w:fldCharType="end"/>
    </w:r>
    <w:r>
      <w:rPr>
        <w:rFonts w:ascii="Times New Roman" w:eastAsia="Times New Roman" w:hAnsi="Times New Roman" w:cs="Times New Roman"/>
        <w:lang w:eastAsia="ru-RU"/>
      </w:rPr>
      <w:t xml:space="preserve"> | </w:t>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NUMPAGES</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t>3</w:t>
    </w:r>
    <w:r>
      <w:rPr>
        <w:rFonts w:ascii="Times New Roman" w:eastAsia="Times New Roman" w:hAnsi="Times New Roman" w:cs="Times New Roman"/>
        <w:lang w:val="en-US" w:eastAsia="ru-RU"/>
      </w:rPr>
      <w:fldChar w:fldCharType="end"/>
    </w:r>
    <w:bookmarkEnd w:id="25"/>
    <w:bookmarkEnd w:id="2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46ED6" w14:textId="77777777" w:rsidR="00860920" w:rsidRDefault="00860920">
      <w:pPr>
        <w:spacing w:after="0" w:line="240" w:lineRule="auto"/>
      </w:pPr>
      <w:r>
        <w:separator/>
      </w:r>
    </w:p>
  </w:footnote>
  <w:footnote w:type="continuationSeparator" w:id="0">
    <w:p w14:paraId="4D90ED25" w14:textId="77777777" w:rsidR="00860920" w:rsidRDefault="00860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 w:type="dxa"/>
      <w:tblBorders>
        <w:bottom w:val="thickThinLargeGap" w:sz="24" w:space="0" w:color="auto"/>
        <w:insideH w:val="single" w:sz="4" w:space="0" w:color="A6A6A6"/>
        <w:insideV w:val="single" w:sz="4" w:space="0" w:color="auto"/>
      </w:tblBorders>
      <w:tblLook w:val="01E0" w:firstRow="1" w:lastRow="1" w:firstColumn="1" w:lastColumn="1" w:noHBand="0" w:noVBand="0"/>
    </w:tblPr>
    <w:tblGrid>
      <w:gridCol w:w="7332"/>
      <w:gridCol w:w="1733"/>
    </w:tblGrid>
    <w:tr w:rsidR="00FA4EB1" w:rsidRPr="00FC6417" w14:paraId="2D0A9708" w14:textId="77777777" w:rsidTr="00513537">
      <w:tc>
        <w:tcPr>
          <w:tcW w:w="4044" w:type="pct"/>
          <w:tcBorders>
            <w:top w:val="thickThinLargeGap" w:sz="24" w:space="0" w:color="323E4F"/>
            <w:left w:val="single" w:sz="4" w:space="0" w:color="A6A6A6"/>
            <w:bottom w:val="thickThinLargeGap" w:sz="24" w:space="0" w:color="323E4F"/>
            <w:right w:val="single" w:sz="24" w:space="0" w:color="323E4F"/>
          </w:tcBorders>
          <w:shd w:val="clear" w:color="auto" w:fill="D5DCE4"/>
        </w:tcPr>
        <w:p w14:paraId="473F27B5" w14:textId="77777777" w:rsidR="00FA4EB1" w:rsidRPr="00FC6417" w:rsidRDefault="00FA4EB1" w:rsidP="00FA4EB1">
          <w:pPr>
            <w:tabs>
              <w:tab w:val="center" w:pos="4677"/>
              <w:tab w:val="right" w:pos="9355"/>
            </w:tabs>
            <w:spacing w:after="0" w:line="240" w:lineRule="auto"/>
            <w:rPr>
              <w:rFonts w:ascii="Times New Roman" w:eastAsia="Times New Roman" w:hAnsi="Times New Roman" w:cs="Times New Roman"/>
              <w:b/>
              <w:bCs/>
              <w:sz w:val="18"/>
              <w:szCs w:val="18"/>
            </w:rPr>
          </w:pPr>
          <w:bookmarkStart w:id="20" w:name="_Hlk178933320"/>
          <w:r w:rsidRPr="00FC6417">
            <w:rPr>
              <w:rFonts w:ascii="Times New Roman" w:eastAsia="Times New Roman" w:hAnsi="Times New Roman" w:cs="Times New Roman"/>
              <w:b/>
              <w:bCs/>
              <w:sz w:val="18"/>
              <w:szCs w:val="18"/>
            </w:rPr>
            <w:t xml:space="preserve">Моделирование, оптимизация и информационные технологии / </w:t>
          </w:r>
        </w:p>
        <w:p w14:paraId="5CE3263D" w14:textId="77777777" w:rsidR="00FA4EB1" w:rsidRPr="00FC6417" w:rsidRDefault="00FA4EB1" w:rsidP="00FA4EB1">
          <w:pPr>
            <w:tabs>
              <w:tab w:val="center" w:pos="4677"/>
              <w:tab w:val="right" w:pos="9355"/>
            </w:tabs>
            <w:spacing w:after="0" w:line="240" w:lineRule="auto"/>
            <w:rPr>
              <w:rFonts w:ascii="Times New Roman" w:eastAsia="Times New Roman" w:hAnsi="Times New Roman" w:cs="Times New Roman"/>
              <w:sz w:val="18"/>
              <w:szCs w:val="18"/>
              <w:lang w:val="en-US"/>
            </w:rPr>
          </w:pPr>
          <w:r w:rsidRPr="00FC6417">
            <w:rPr>
              <w:rFonts w:ascii="Times New Roman" w:eastAsia="Times New Roman" w:hAnsi="Times New Roman" w:cs="Times New Roman"/>
              <w:b/>
              <w:bCs/>
              <w:sz w:val="18"/>
              <w:szCs w:val="18"/>
              <w:lang w:val="en-US"/>
            </w:rPr>
            <w:t xml:space="preserve">Modeling, </w:t>
          </w:r>
          <w:r>
            <w:rPr>
              <w:rFonts w:ascii="Times New Roman" w:eastAsia="Times New Roman" w:hAnsi="Times New Roman" w:cs="Times New Roman"/>
              <w:b/>
              <w:bCs/>
              <w:sz w:val="18"/>
              <w:szCs w:val="18"/>
              <w:lang w:val="en-US"/>
            </w:rPr>
            <w:t>O</w:t>
          </w:r>
          <w:r w:rsidRPr="00FC6417">
            <w:rPr>
              <w:rFonts w:ascii="Times New Roman" w:eastAsia="Times New Roman" w:hAnsi="Times New Roman" w:cs="Times New Roman"/>
              <w:b/>
              <w:bCs/>
              <w:sz w:val="18"/>
              <w:szCs w:val="18"/>
              <w:lang w:val="en-US"/>
            </w:rPr>
            <w:t xml:space="preserve">ptimization and </w:t>
          </w:r>
          <w:r>
            <w:rPr>
              <w:rFonts w:ascii="Times New Roman" w:eastAsia="Times New Roman" w:hAnsi="Times New Roman" w:cs="Times New Roman"/>
              <w:b/>
              <w:bCs/>
              <w:sz w:val="18"/>
              <w:szCs w:val="18"/>
              <w:lang w:val="en-US"/>
            </w:rPr>
            <w:t>I</w:t>
          </w:r>
          <w:r w:rsidRPr="00FC6417">
            <w:rPr>
              <w:rFonts w:ascii="Times New Roman" w:eastAsia="Times New Roman" w:hAnsi="Times New Roman" w:cs="Times New Roman"/>
              <w:b/>
              <w:bCs/>
              <w:sz w:val="18"/>
              <w:szCs w:val="18"/>
              <w:lang w:val="en-US"/>
            </w:rPr>
            <w:t xml:space="preserve">nformation </w:t>
          </w:r>
          <w:r>
            <w:rPr>
              <w:rFonts w:ascii="Times New Roman" w:eastAsia="Times New Roman" w:hAnsi="Times New Roman" w:cs="Times New Roman"/>
              <w:b/>
              <w:bCs/>
              <w:sz w:val="18"/>
              <w:szCs w:val="18"/>
              <w:lang w:val="en-US"/>
            </w:rPr>
            <w:t>T</w:t>
          </w:r>
          <w:r w:rsidRPr="00FC6417">
            <w:rPr>
              <w:rFonts w:ascii="Times New Roman" w:eastAsia="Times New Roman" w:hAnsi="Times New Roman" w:cs="Times New Roman"/>
              <w:b/>
              <w:bCs/>
              <w:sz w:val="18"/>
              <w:szCs w:val="18"/>
              <w:lang w:val="en-US"/>
            </w:rPr>
            <w:t xml:space="preserve">echnology </w:t>
          </w:r>
        </w:p>
      </w:tc>
      <w:tc>
        <w:tcPr>
          <w:tcW w:w="956" w:type="pct"/>
          <w:tcBorders>
            <w:top w:val="thickThinLargeGap" w:sz="24" w:space="0" w:color="323E4F"/>
            <w:left w:val="single" w:sz="24" w:space="0" w:color="323E4F"/>
            <w:bottom w:val="thickThinLargeGap" w:sz="24" w:space="0" w:color="323E4F"/>
          </w:tcBorders>
          <w:shd w:val="clear" w:color="auto" w:fill="D5DCE4"/>
        </w:tcPr>
        <w:p w14:paraId="113EEA0C" w14:textId="6D2D3B8D" w:rsidR="00FA4EB1" w:rsidRPr="00FC6417" w:rsidRDefault="00FA4EB1" w:rsidP="00FA4EB1">
          <w:pPr>
            <w:tabs>
              <w:tab w:val="center" w:pos="4677"/>
              <w:tab w:val="right" w:pos="9355"/>
            </w:tabs>
            <w:spacing w:after="0" w:line="240" w:lineRule="auto"/>
            <w:jc w:val="center"/>
            <w:rPr>
              <w:rFonts w:ascii="Times New Roman" w:eastAsia="Times New Roman" w:hAnsi="Times New Roman" w:cs="Times New Roman"/>
              <w:b/>
              <w:sz w:val="18"/>
              <w:szCs w:val="18"/>
              <w:lang w:val="en-US"/>
            </w:rPr>
          </w:pPr>
          <w:r w:rsidRPr="00FC6417">
            <w:rPr>
              <w:rFonts w:ascii="Times New Roman" w:eastAsia="Times New Roman" w:hAnsi="Times New Roman" w:cs="Times New Roman"/>
              <w:b/>
              <w:sz w:val="18"/>
              <w:szCs w:val="18"/>
            </w:rPr>
            <w:t>20</w:t>
          </w:r>
          <w:r w:rsidRPr="00FC6417">
            <w:rPr>
              <w:rFonts w:ascii="Times New Roman" w:eastAsia="Times New Roman" w:hAnsi="Times New Roman" w:cs="Times New Roman"/>
              <w:b/>
              <w:sz w:val="18"/>
              <w:szCs w:val="18"/>
              <w:lang w:val="en-US"/>
            </w:rPr>
            <w:t>2</w:t>
          </w:r>
          <w:r w:rsidR="003C6001">
            <w:rPr>
              <w:rFonts w:ascii="Times New Roman" w:eastAsia="Times New Roman" w:hAnsi="Times New Roman" w:cs="Times New Roman"/>
              <w:b/>
              <w:sz w:val="18"/>
              <w:szCs w:val="18"/>
            </w:rPr>
            <w:t>5</w:t>
          </w:r>
          <w:r w:rsidRPr="00FC6417">
            <w:rPr>
              <w:rFonts w:ascii="Times New Roman" w:eastAsia="Times New Roman" w:hAnsi="Times New Roman" w:cs="Times New Roman"/>
              <w:b/>
              <w:sz w:val="18"/>
              <w:szCs w:val="18"/>
            </w:rPr>
            <w:t>;</w:t>
          </w:r>
          <w:r>
            <w:rPr>
              <w:rFonts w:ascii="Times New Roman" w:eastAsia="Times New Roman" w:hAnsi="Times New Roman" w:cs="Times New Roman"/>
              <w:b/>
              <w:sz w:val="18"/>
              <w:szCs w:val="18"/>
              <w:lang w:val="en-US"/>
            </w:rPr>
            <w:t>1</w:t>
          </w:r>
          <w:r w:rsidR="003C6001">
            <w:rPr>
              <w:rFonts w:ascii="Times New Roman" w:eastAsia="Times New Roman" w:hAnsi="Times New Roman" w:cs="Times New Roman"/>
              <w:b/>
              <w:sz w:val="18"/>
              <w:szCs w:val="18"/>
            </w:rPr>
            <w:t>3</w:t>
          </w:r>
          <w:r w:rsidRPr="00FC6417">
            <w:rPr>
              <w:rFonts w:ascii="Times New Roman" w:eastAsia="Times New Roman" w:hAnsi="Times New Roman" w:cs="Times New Roman"/>
              <w:b/>
              <w:sz w:val="18"/>
              <w:szCs w:val="18"/>
            </w:rPr>
            <w:t>(</w:t>
          </w:r>
          <w:r w:rsidR="003C6001">
            <w:rPr>
              <w:rFonts w:ascii="Times New Roman" w:eastAsia="Times New Roman" w:hAnsi="Times New Roman" w:cs="Times New Roman"/>
              <w:b/>
              <w:sz w:val="18"/>
              <w:szCs w:val="18"/>
            </w:rPr>
            <w:t>*</w:t>
          </w:r>
          <w:r w:rsidRPr="00FC6417">
            <w:rPr>
              <w:rFonts w:ascii="Times New Roman" w:eastAsia="Times New Roman" w:hAnsi="Times New Roman" w:cs="Times New Roman"/>
              <w:b/>
              <w:sz w:val="18"/>
              <w:szCs w:val="18"/>
            </w:rPr>
            <w:t>)</w:t>
          </w:r>
        </w:p>
        <w:p w14:paraId="35A599D0" w14:textId="77777777" w:rsidR="00FA4EB1" w:rsidRPr="00FC6417" w:rsidRDefault="00FA4EB1" w:rsidP="00FA4EB1">
          <w:pPr>
            <w:tabs>
              <w:tab w:val="center" w:pos="4677"/>
              <w:tab w:val="right" w:pos="9355"/>
            </w:tabs>
            <w:spacing w:after="0" w:line="240" w:lineRule="auto"/>
            <w:jc w:val="center"/>
            <w:rPr>
              <w:rFonts w:ascii="Times New Roman" w:eastAsia="Times New Roman" w:hAnsi="Times New Roman" w:cs="Times New Roman"/>
              <w:b/>
              <w:sz w:val="18"/>
              <w:szCs w:val="18"/>
              <w:lang w:val="en-US"/>
            </w:rPr>
          </w:pPr>
          <w:r w:rsidRPr="00FC6417">
            <w:rPr>
              <w:rFonts w:ascii="Times New Roman" w:eastAsia="Times New Roman" w:hAnsi="Times New Roman" w:cs="Times New Roman"/>
              <w:b/>
              <w:sz w:val="18"/>
              <w:szCs w:val="18"/>
              <w:lang w:val="en-US"/>
            </w:rPr>
            <w:t>https</w:t>
          </w:r>
          <w:r w:rsidRPr="00FC6417">
            <w:rPr>
              <w:rFonts w:ascii="Times New Roman" w:eastAsia="Times New Roman" w:hAnsi="Times New Roman" w:cs="Times New Roman"/>
              <w:b/>
              <w:sz w:val="18"/>
              <w:szCs w:val="18"/>
            </w:rPr>
            <w:t>://</w:t>
          </w:r>
          <w:r w:rsidRPr="00FC6417">
            <w:rPr>
              <w:rFonts w:ascii="Times New Roman" w:eastAsia="Times New Roman" w:hAnsi="Times New Roman" w:cs="Times New Roman"/>
              <w:b/>
              <w:sz w:val="18"/>
              <w:szCs w:val="18"/>
              <w:lang w:val="en-US"/>
            </w:rPr>
            <w:t>moitvivt.ru</w:t>
          </w:r>
        </w:p>
      </w:tc>
    </w:tr>
    <w:bookmarkEnd w:id="20"/>
  </w:tbl>
  <w:p w14:paraId="08C96270" w14:textId="77777777" w:rsidR="00C6418A" w:rsidRDefault="00C6418A">
    <w:pPr>
      <w:pStyle w:val="aff"/>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 w:type="dxa"/>
      <w:tblBorders>
        <w:bottom w:val="thickThinLargeGap" w:sz="24" w:space="0" w:color="auto"/>
        <w:insideH w:val="single" w:sz="4" w:space="0" w:color="A6A6A6"/>
        <w:insideV w:val="single" w:sz="4" w:space="0" w:color="auto"/>
      </w:tblBorders>
      <w:tblLook w:val="01E0" w:firstRow="1" w:lastRow="1" w:firstColumn="1" w:lastColumn="1" w:noHBand="0" w:noVBand="0"/>
    </w:tblPr>
    <w:tblGrid>
      <w:gridCol w:w="7332"/>
      <w:gridCol w:w="1733"/>
    </w:tblGrid>
    <w:tr w:rsidR="00E754D4" w:rsidRPr="00FC6417" w14:paraId="1A632CCC" w14:textId="77777777" w:rsidTr="00513537">
      <w:tc>
        <w:tcPr>
          <w:tcW w:w="4044" w:type="pct"/>
          <w:tcBorders>
            <w:top w:val="thickThinLargeGap" w:sz="24" w:space="0" w:color="323E4F"/>
            <w:left w:val="single" w:sz="4" w:space="0" w:color="A6A6A6"/>
            <w:bottom w:val="thickThinLargeGap" w:sz="24" w:space="0" w:color="323E4F"/>
            <w:right w:val="single" w:sz="24" w:space="0" w:color="323E4F"/>
          </w:tcBorders>
          <w:shd w:val="clear" w:color="auto" w:fill="D5DCE4"/>
        </w:tcPr>
        <w:p w14:paraId="4A5F4A9D" w14:textId="77777777" w:rsidR="00E754D4" w:rsidRPr="00FC6417" w:rsidRDefault="00E754D4" w:rsidP="00E754D4">
          <w:pPr>
            <w:tabs>
              <w:tab w:val="center" w:pos="4677"/>
              <w:tab w:val="right" w:pos="9355"/>
            </w:tabs>
            <w:spacing w:after="0" w:line="240" w:lineRule="auto"/>
            <w:rPr>
              <w:rFonts w:ascii="Times New Roman" w:eastAsia="Times New Roman" w:hAnsi="Times New Roman" w:cs="Times New Roman"/>
              <w:b/>
              <w:bCs/>
              <w:sz w:val="18"/>
              <w:szCs w:val="18"/>
            </w:rPr>
          </w:pPr>
          <w:bookmarkStart w:id="21" w:name="_Hlk87132664"/>
          <w:bookmarkStart w:id="22" w:name="_Hlk115771519"/>
          <w:bookmarkStart w:id="23" w:name="_Hlk178932976"/>
          <w:r w:rsidRPr="00FC6417">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69BA5896" wp14:editId="2CE56176">
                <wp:simplePos x="0" y="0"/>
                <wp:positionH relativeFrom="margin">
                  <wp:posOffset>3753751</wp:posOffset>
                </wp:positionH>
                <wp:positionV relativeFrom="paragraph">
                  <wp:posOffset>-19685</wp:posOffset>
                </wp:positionV>
                <wp:extent cx="863243" cy="298813"/>
                <wp:effectExtent l="0" t="0" r="0" b="6350"/>
                <wp:wrapNone/>
                <wp:docPr id="8" name="Рисунок 8" descr="Изображение выглядит как текст, коллекция карти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текст, коллекция картинок&#10;&#10;Автоматически созданное описание"/>
                        <pic:cNvPicPr/>
                      </pic:nvPicPr>
                      <pic:blipFill>
                        <a:blip r:embed="rId1" cstate="print">
                          <a:extLst>
                            <a:ext uri="{28A0092B-C50C-407E-A947-70E740481C1C}">
                              <a14:useLocalDpi xmlns:a14="http://schemas.microsoft.com/office/drawing/2010/main" val="0"/>
                            </a:ext>
                          </a:extLst>
                        </a:blip>
                        <a:stretch>
                          <a:fillRect/>
                        </a:stretch>
                      </pic:blipFill>
                      <pic:spPr>
                        <a:xfrm>
                          <a:off x="0" y="0"/>
                          <a:ext cx="863243" cy="298813"/>
                        </a:xfrm>
                        <a:prstGeom prst="rect">
                          <a:avLst/>
                        </a:prstGeom>
                      </pic:spPr>
                    </pic:pic>
                  </a:graphicData>
                </a:graphic>
                <wp14:sizeRelH relativeFrom="margin">
                  <wp14:pctWidth>0</wp14:pctWidth>
                </wp14:sizeRelH>
                <wp14:sizeRelV relativeFrom="margin">
                  <wp14:pctHeight>0</wp14:pctHeight>
                </wp14:sizeRelV>
              </wp:anchor>
            </w:drawing>
          </w:r>
          <w:r w:rsidRPr="00FC6417">
            <w:rPr>
              <w:rFonts w:ascii="Times New Roman" w:eastAsia="Times New Roman" w:hAnsi="Times New Roman" w:cs="Times New Roman"/>
              <w:b/>
              <w:bCs/>
              <w:sz w:val="18"/>
              <w:szCs w:val="18"/>
            </w:rPr>
            <w:t xml:space="preserve">Моделирование, оптимизация и информационные технологии / </w:t>
          </w:r>
        </w:p>
        <w:p w14:paraId="44BE3E01" w14:textId="77777777" w:rsidR="00E754D4" w:rsidRPr="00FC6417" w:rsidRDefault="00E754D4" w:rsidP="00E754D4">
          <w:pPr>
            <w:tabs>
              <w:tab w:val="center" w:pos="4677"/>
              <w:tab w:val="right" w:pos="9355"/>
            </w:tabs>
            <w:spacing w:after="0" w:line="240" w:lineRule="auto"/>
            <w:rPr>
              <w:rFonts w:ascii="Times New Roman" w:eastAsia="Times New Roman" w:hAnsi="Times New Roman" w:cs="Times New Roman"/>
              <w:sz w:val="18"/>
              <w:szCs w:val="18"/>
              <w:lang w:val="en-US"/>
            </w:rPr>
          </w:pPr>
          <w:r w:rsidRPr="00FC6417">
            <w:rPr>
              <w:rFonts w:ascii="Times New Roman" w:eastAsia="Times New Roman" w:hAnsi="Times New Roman" w:cs="Times New Roman"/>
              <w:b/>
              <w:bCs/>
              <w:sz w:val="18"/>
              <w:szCs w:val="18"/>
              <w:lang w:val="en-US"/>
            </w:rPr>
            <w:t xml:space="preserve">Modeling, </w:t>
          </w:r>
          <w:r>
            <w:rPr>
              <w:rFonts w:ascii="Times New Roman" w:eastAsia="Times New Roman" w:hAnsi="Times New Roman" w:cs="Times New Roman"/>
              <w:b/>
              <w:bCs/>
              <w:sz w:val="18"/>
              <w:szCs w:val="18"/>
              <w:lang w:val="en-US"/>
            </w:rPr>
            <w:t>O</w:t>
          </w:r>
          <w:r w:rsidRPr="00FC6417">
            <w:rPr>
              <w:rFonts w:ascii="Times New Roman" w:eastAsia="Times New Roman" w:hAnsi="Times New Roman" w:cs="Times New Roman"/>
              <w:b/>
              <w:bCs/>
              <w:sz w:val="18"/>
              <w:szCs w:val="18"/>
              <w:lang w:val="en-US"/>
            </w:rPr>
            <w:t xml:space="preserve">ptimization and </w:t>
          </w:r>
          <w:r>
            <w:rPr>
              <w:rFonts w:ascii="Times New Roman" w:eastAsia="Times New Roman" w:hAnsi="Times New Roman" w:cs="Times New Roman"/>
              <w:b/>
              <w:bCs/>
              <w:sz w:val="18"/>
              <w:szCs w:val="18"/>
              <w:lang w:val="en-US"/>
            </w:rPr>
            <w:t>I</w:t>
          </w:r>
          <w:r w:rsidRPr="00FC6417">
            <w:rPr>
              <w:rFonts w:ascii="Times New Roman" w:eastAsia="Times New Roman" w:hAnsi="Times New Roman" w:cs="Times New Roman"/>
              <w:b/>
              <w:bCs/>
              <w:sz w:val="18"/>
              <w:szCs w:val="18"/>
              <w:lang w:val="en-US"/>
            </w:rPr>
            <w:t xml:space="preserve">nformation </w:t>
          </w:r>
          <w:r>
            <w:rPr>
              <w:rFonts w:ascii="Times New Roman" w:eastAsia="Times New Roman" w:hAnsi="Times New Roman" w:cs="Times New Roman"/>
              <w:b/>
              <w:bCs/>
              <w:sz w:val="18"/>
              <w:szCs w:val="18"/>
              <w:lang w:val="en-US"/>
            </w:rPr>
            <w:t>T</w:t>
          </w:r>
          <w:r w:rsidRPr="00FC6417">
            <w:rPr>
              <w:rFonts w:ascii="Times New Roman" w:eastAsia="Times New Roman" w:hAnsi="Times New Roman" w:cs="Times New Roman"/>
              <w:b/>
              <w:bCs/>
              <w:sz w:val="18"/>
              <w:szCs w:val="18"/>
              <w:lang w:val="en-US"/>
            </w:rPr>
            <w:t xml:space="preserve">echnology </w:t>
          </w:r>
        </w:p>
      </w:tc>
      <w:tc>
        <w:tcPr>
          <w:tcW w:w="956" w:type="pct"/>
          <w:tcBorders>
            <w:top w:val="thickThinLargeGap" w:sz="24" w:space="0" w:color="323E4F"/>
            <w:left w:val="single" w:sz="24" w:space="0" w:color="323E4F"/>
            <w:bottom w:val="thickThinLargeGap" w:sz="24" w:space="0" w:color="323E4F"/>
          </w:tcBorders>
          <w:shd w:val="clear" w:color="auto" w:fill="D5DCE4"/>
        </w:tcPr>
        <w:p w14:paraId="515D8574" w14:textId="6F7A5359" w:rsidR="00E754D4" w:rsidRPr="00FC6417" w:rsidRDefault="00E754D4" w:rsidP="00E754D4">
          <w:pPr>
            <w:tabs>
              <w:tab w:val="center" w:pos="4677"/>
              <w:tab w:val="right" w:pos="9355"/>
            </w:tabs>
            <w:spacing w:after="0" w:line="240" w:lineRule="auto"/>
            <w:jc w:val="center"/>
            <w:rPr>
              <w:rFonts w:ascii="Times New Roman" w:eastAsia="Times New Roman" w:hAnsi="Times New Roman" w:cs="Times New Roman"/>
              <w:b/>
              <w:sz w:val="18"/>
              <w:szCs w:val="18"/>
              <w:lang w:val="en-US"/>
            </w:rPr>
          </w:pPr>
          <w:r w:rsidRPr="00FC6417">
            <w:rPr>
              <w:rFonts w:ascii="Times New Roman" w:eastAsia="Times New Roman" w:hAnsi="Times New Roman" w:cs="Times New Roman"/>
              <w:b/>
              <w:sz w:val="18"/>
              <w:szCs w:val="18"/>
            </w:rPr>
            <w:t>20</w:t>
          </w:r>
          <w:r>
            <w:rPr>
              <w:rFonts w:ascii="Times New Roman" w:eastAsia="Times New Roman" w:hAnsi="Times New Roman" w:cs="Times New Roman"/>
              <w:b/>
              <w:sz w:val="18"/>
              <w:szCs w:val="18"/>
              <w:lang w:val="en-US"/>
            </w:rPr>
            <w:t>2</w:t>
          </w:r>
          <w:r w:rsidR="00093DF7">
            <w:rPr>
              <w:rFonts w:ascii="Times New Roman" w:eastAsia="Times New Roman" w:hAnsi="Times New Roman" w:cs="Times New Roman"/>
              <w:b/>
              <w:sz w:val="18"/>
              <w:szCs w:val="18"/>
            </w:rPr>
            <w:t>5</w:t>
          </w:r>
          <w:r w:rsidRPr="00FC6417">
            <w:rPr>
              <w:rFonts w:ascii="Times New Roman" w:eastAsia="Times New Roman" w:hAnsi="Times New Roman" w:cs="Times New Roman"/>
              <w:b/>
              <w:sz w:val="18"/>
              <w:szCs w:val="18"/>
            </w:rPr>
            <w:t>;</w:t>
          </w:r>
          <w:r>
            <w:rPr>
              <w:rFonts w:ascii="Times New Roman" w:eastAsia="Times New Roman" w:hAnsi="Times New Roman" w:cs="Times New Roman"/>
              <w:b/>
              <w:sz w:val="18"/>
              <w:szCs w:val="18"/>
            </w:rPr>
            <w:t>1</w:t>
          </w:r>
          <w:r w:rsidR="00093DF7">
            <w:rPr>
              <w:rFonts w:ascii="Times New Roman" w:eastAsia="Times New Roman" w:hAnsi="Times New Roman" w:cs="Times New Roman"/>
              <w:b/>
              <w:sz w:val="18"/>
              <w:szCs w:val="18"/>
            </w:rPr>
            <w:t>3</w:t>
          </w:r>
          <w:r w:rsidRPr="00FC6417">
            <w:rPr>
              <w:rFonts w:ascii="Times New Roman" w:eastAsia="Times New Roman" w:hAnsi="Times New Roman" w:cs="Times New Roman"/>
              <w:b/>
              <w:sz w:val="18"/>
              <w:szCs w:val="18"/>
            </w:rPr>
            <w:t>(</w:t>
          </w:r>
          <w:r w:rsidR="00093DF7">
            <w:rPr>
              <w:rFonts w:ascii="Times New Roman" w:eastAsia="Times New Roman" w:hAnsi="Times New Roman" w:cs="Times New Roman"/>
              <w:b/>
              <w:sz w:val="18"/>
              <w:szCs w:val="18"/>
            </w:rPr>
            <w:t>*</w:t>
          </w:r>
          <w:r w:rsidRPr="00FC6417">
            <w:rPr>
              <w:rFonts w:ascii="Times New Roman" w:eastAsia="Times New Roman" w:hAnsi="Times New Roman" w:cs="Times New Roman"/>
              <w:b/>
              <w:sz w:val="18"/>
              <w:szCs w:val="18"/>
            </w:rPr>
            <w:t>)</w:t>
          </w:r>
        </w:p>
        <w:p w14:paraId="0BD58BDC" w14:textId="77777777" w:rsidR="00E754D4" w:rsidRPr="00FC6417" w:rsidRDefault="00E754D4" w:rsidP="00E754D4">
          <w:pPr>
            <w:tabs>
              <w:tab w:val="center" w:pos="4677"/>
              <w:tab w:val="right" w:pos="9355"/>
            </w:tabs>
            <w:spacing w:after="0" w:line="240" w:lineRule="auto"/>
            <w:jc w:val="center"/>
            <w:rPr>
              <w:rFonts w:ascii="Times New Roman" w:eastAsia="Times New Roman" w:hAnsi="Times New Roman" w:cs="Times New Roman"/>
              <w:b/>
              <w:sz w:val="18"/>
              <w:szCs w:val="18"/>
              <w:lang w:val="en-US"/>
            </w:rPr>
          </w:pPr>
          <w:r w:rsidRPr="00FC6417">
            <w:rPr>
              <w:rFonts w:ascii="Times New Roman" w:eastAsia="Times New Roman" w:hAnsi="Times New Roman" w:cs="Times New Roman"/>
              <w:b/>
              <w:sz w:val="18"/>
              <w:szCs w:val="18"/>
              <w:lang w:val="en-US"/>
            </w:rPr>
            <w:t>https</w:t>
          </w:r>
          <w:r w:rsidRPr="00FC6417">
            <w:rPr>
              <w:rFonts w:ascii="Times New Roman" w:eastAsia="Times New Roman" w:hAnsi="Times New Roman" w:cs="Times New Roman"/>
              <w:b/>
              <w:sz w:val="18"/>
              <w:szCs w:val="18"/>
            </w:rPr>
            <w:t>://</w:t>
          </w:r>
          <w:r w:rsidRPr="00FC6417">
            <w:rPr>
              <w:rFonts w:ascii="Times New Roman" w:eastAsia="Times New Roman" w:hAnsi="Times New Roman" w:cs="Times New Roman"/>
              <w:b/>
              <w:sz w:val="18"/>
              <w:szCs w:val="18"/>
              <w:lang w:val="en-US"/>
            </w:rPr>
            <w:t>moitvivt.ru</w:t>
          </w:r>
          <w:bookmarkEnd w:id="21"/>
          <w:bookmarkEnd w:id="22"/>
        </w:p>
      </w:tc>
    </w:tr>
    <w:bookmarkEnd w:id="23"/>
  </w:tbl>
  <w:p w14:paraId="09F9EC88" w14:textId="77777777" w:rsidR="00C6418A" w:rsidRDefault="00C6418A">
    <w:pPr>
      <w:pStyle w:val="aff"/>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986"/>
    <w:multiLevelType w:val="multilevel"/>
    <w:tmpl w:val="C066A89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861FF"/>
    <w:multiLevelType w:val="multilevel"/>
    <w:tmpl w:val="A2C84FA0"/>
    <w:lvl w:ilvl="0">
      <w:start w:val="1"/>
      <w:numFmt w:val="decimal"/>
      <w:lvlText w:val="%1."/>
      <w:lvlJc w:val="left"/>
      <w:pPr>
        <w:ind w:left="720" w:hanging="360"/>
      </w:pPr>
      <w:rPr>
        <w:rFonts w:hint="default"/>
        <w:color w:val="FF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E43253"/>
    <w:multiLevelType w:val="multilevel"/>
    <w:tmpl w:val="9C24BE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EE75F8"/>
    <w:multiLevelType w:val="multilevel"/>
    <w:tmpl w:val="10A86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A66BF4"/>
    <w:multiLevelType w:val="multilevel"/>
    <w:tmpl w:val="7AE644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C67F1D"/>
    <w:multiLevelType w:val="multilevel"/>
    <w:tmpl w:val="7D325F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D27DF3"/>
    <w:multiLevelType w:val="multilevel"/>
    <w:tmpl w:val="54B4F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633635"/>
    <w:multiLevelType w:val="multilevel"/>
    <w:tmpl w:val="7870BE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0339C4"/>
    <w:multiLevelType w:val="multilevel"/>
    <w:tmpl w:val="C84C8954"/>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252604"/>
    <w:multiLevelType w:val="multilevel"/>
    <w:tmpl w:val="4C0837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920336D"/>
    <w:multiLevelType w:val="multilevel"/>
    <w:tmpl w:val="554235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924518C"/>
    <w:multiLevelType w:val="multilevel"/>
    <w:tmpl w:val="665093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4D01725"/>
    <w:multiLevelType w:val="multilevel"/>
    <w:tmpl w:val="58C282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8980412"/>
    <w:multiLevelType w:val="multilevel"/>
    <w:tmpl w:val="A98879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4E7457"/>
    <w:multiLevelType w:val="multilevel"/>
    <w:tmpl w:val="1742BB8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CA6250E"/>
    <w:multiLevelType w:val="multilevel"/>
    <w:tmpl w:val="92A091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DB005B6"/>
    <w:multiLevelType w:val="multilevel"/>
    <w:tmpl w:val="8D9AC170"/>
    <w:lvl w:ilvl="0">
      <w:start w:val="1"/>
      <w:numFmt w:val="decimal"/>
      <w:lvlText w:val="%1."/>
      <w:lvlJc w:val="left"/>
      <w:pPr>
        <w:ind w:left="1428" w:hanging="360"/>
      </w:pPr>
      <w:rPr>
        <w:sz w:val="28"/>
        <w:szCs w:val="28"/>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7" w15:restartNumberingAfterBreak="0">
    <w:nsid w:val="5F6A1F7A"/>
    <w:multiLevelType w:val="multilevel"/>
    <w:tmpl w:val="A28A18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1C93205"/>
    <w:multiLevelType w:val="multilevel"/>
    <w:tmpl w:val="2CBC9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4DC0649"/>
    <w:multiLevelType w:val="multilevel"/>
    <w:tmpl w:val="80B4FA9C"/>
    <w:lvl w:ilvl="0">
      <w:start w:val="1"/>
      <w:numFmt w:val="decimal"/>
      <w:lvlText w:val="%1."/>
      <w:lvlJc w:val="left"/>
      <w:pPr>
        <w:ind w:left="1428"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7766166"/>
    <w:multiLevelType w:val="multilevel"/>
    <w:tmpl w:val="8D1CE5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9995130"/>
    <w:multiLevelType w:val="multilevel"/>
    <w:tmpl w:val="A3D8056E"/>
    <w:lvl w:ilvl="0">
      <w:start w:val="1"/>
      <w:numFmt w:val="decimal"/>
      <w:lvlText w:val="%1."/>
      <w:lvlJc w:val="left"/>
      <w:pPr>
        <w:ind w:left="1428" w:hanging="360"/>
      </w:pPr>
      <w:rPr>
        <w:b/>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2" w15:restartNumberingAfterBreak="0">
    <w:nsid w:val="71A525C3"/>
    <w:multiLevelType w:val="multilevel"/>
    <w:tmpl w:val="C868F3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21"/>
  </w:num>
  <w:num w:numId="4">
    <w:abstractNumId w:val="16"/>
  </w:num>
  <w:num w:numId="5">
    <w:abstractNumId w:val="13"/>
  </w:num>
  <w:num w:numId="6">
    <w:abstractNumId w:val="17"/>
  </w:num>
  <w:num w:numId="7">
    <w:abstractNumId w:val="11"/>
  </w:num>
  <w:num w:numId="8">
    <w:abstractNumId w:val="9"/>
  </w:num>
  <w:num w:numId="9">
    <w:abstractNumId w:val="5"/>
  </w:num>
  <w:num w:numId="10">
    <w:abstractNumId w:val="20"/>
  </w:num>
  <w:num w:numId="11">
    <w:abstractNumId w:val="18"/>
  </w:num>
  <w:num w:numId="12">
    <w:abstractNumId w:val="15"/>
  </w:num>
  <w:num w:numId="13">
    <w:abstractNumId w:val="8"/>
  </w:num>
  <w:num w:numId="14">
    <w:abstractNumId w:val="12"/>
  </w:num>
  <w:num w:numId="15">
    <w:abstractNumId w:val="14"/>
  </w:num>
  <w:num w:numId="16">
    <w:abstractNumId w:val="6"/>
  </w:num>
  <w:num w:numId="17">
    <w:abstractNumId w:val="1"/>
  </w:num>
  <w:num w:numId="18">
    <w:abstractNumId w:val="4"/>
  </w:num>
  <w:num w:numId="19">
    <w:abstractNumId w:val="2"/>
  </w:num>
  <w:num w:numId="20">
    <w:abstractNumId w:val="10"/>
  </w:num>
  <w:num w:numId="21">
    <w:abstractNumId w:val="22"/>
  </w:num>
  <w:num w:numId="22">
    <w:abstractNumId w:val="7"/>
  </w:num>
  <w:num w:numId="23">
    <w:abstractNumId w:val="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8A"/>
    <w:rsid w:val="00093DF7"/>
    <w:rsid w:val="003C6001"/>
    <w:rsid w:val="00860920"/>
    <w:rsid w:val="00A3192E"/>
    <w:rsid w:val="00C6418A"/>
    <w:rsid w:val="00E754D4"/>
    <w:rsid w:val="00FA4EB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1EEB"/>
  <w15:docId w15:val="{EA9D38BA-5FEB-407B-A558-B26C7F3F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eastAsia="Times New Roman"/>
      <w:sz w:val="24"/>
    </w:rPr>
  </w:style>
  <w:style w:type="paragraph" w:styleId="1">
    <w:name w:val="heading 1"/>
    <w:basedOn w:val="a"/>
    <w:next w:val="a"/>
    <w:link w:val="10"/>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365F91"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10">
    <w:name w:val="Заголовок 1 Знак"/>
    <w:basedOn w:val="a0"/>
    <w:link w:val="1"/>
    <w:uiPriority w:val="9"/>
    <w:rPr>
      <w:rFonts w:ascii="Arial" w:eastAsia="Arial" w:hAnsi="Arial" w:cs="Arial"/>
      <w:color w:val="365F91" w:themeColor="accent1" w:themeShade="BF"/>
      <w:sz w:val="40"/>
      <w:szCs w:val="40"/>
    </w:rPr>
  </w:style>
  <w:style w:type="character" w:customStyle="1" w:styleId="20">
    <w:name w:val="Заголовок 2 Знак"/>
    <w:basedOn w:val="a0"/>
    <w:link w:val="2"/>
    <w:uiPriority w:val="9"/>
    <w:rPr>
      <w:rFonts w:ascii="Arial" w:eastAsia="Arial" w:hAnsi="Arial" w:cs="Arial"/>
      <w:color w:val="365F91" w:themeColor="accent1" w:themeShade="BF"/>
      <w:sz w:val="32"/>
      <w:szCs w:val="32"/>
    </w:rPr>
  </w:style>
  <w:style w:type="character" w:customStyle="1" w:styleId="30">
    <w:name w:val="Заголовок 3 Знак"/>
    <w:basedOn w:val="a0"/>
    <w:link w:val="3"/>
    <w:uiPriority w:val="9"/>
    <w:rPr>
      <w:rFonts w:ascii="Arial" w:eastAsia="Arial" w:hAnsi="Arial" w:cs="Arial"/>
      <w:color w:val="365F9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365F91" w:themeColor="accent1" w:themeShade="BF"/>
    </w:rPr>
  </w:style>
  <w:style w:type="character" w:customStyle="1" w:styleId="50">
    <w:name w:val="Заголовок 5 Знак"/>
    <w:basedOn w:val="a0"/>
    <w:link w:val="5"/>
    <w:uiPriority w:val="9"/>
    <w:rPr>
      <w:rFonts w:ascii="Arial" w:eastAsia="Arial" w:hAnsi="Arial" w:cs="Arial"/>
      <w:color w:val="365F9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3">
    <w:name w:val="Title"/>
    <w:basedOn w:val="a"/>
    <w:next w:val="a"/>
    <w:link w:val="a4"/>
    <w:uiPriority w:val="10"/>
    <w:qFormat/>
    <w:pPr>
      <w:spacing w:after="80" w:line="240" w:lineRule="auto"/>
      <w:contextualSpacing/>
    </w:pPr>
    <w:rPr>
      <w:rFonts w:ascii="Arial" w:eastAsia="Arial" w:hAnsi="Arial" w:cs="Arial"/>
      <w:spacing w:val="-10"/>
      <w:sz w:val="56"/>
      <w:szCs w:val="56"/>
    </w:rPr>
  </w:style>
  <w:style w:type="character" w:customStyle="1" w:styleId="a4">
    <w:name w:val="Заголовок Знак"/>
    <w:basedOn w:val="a0"/>
    <w:link w:val="a3"/>
    <w:uiPriority w:val="10"/>
    <w:rPr>
      <w:rFonts w:ascii="Arial" w:eastAsia="Arial" w:hAnsi="Arial" w:cs="Arial"/>
      <w:spacing w:val="-10"/>
      <w:sz w:val="56"/>
      <w:szCs w:val="56"/>
    </w:rPr>
  </w:style>
  <w:style w:type="paragraph" w:styleId="a5">
    <w:name w:val="Subtitle"/>
    <w:basedOn w:val="a"/>
    <w:next w:val="a"/>
    <w:link w:val="a6"/>
    <w:uiPriority w:val="11"/>
    <w:qFormat/>
    <w:pPr>
      <w:numPr>
        <w:ilvl w:val="1"/>
      </w:numPr>
    </w:pPr>
    <w:rPr>
      <w:color w:val="595959" w:themeColor="text1" w:themeTint="A6"/>
      <w:spacing w:val="15"/>
      <w:sz w:val="28"/>
      <w:szCs w:val="28"/>
    </w:rPr>
  </w:style>
  <w:style w:type="character" w:customStyle="1" w:styleId="a6">
    <w:name w:val="Подзаголовок Знак"/>
    <w:basedOn w:val="a0"/>
    <w:link w:val="a5"/>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7">
    <w:name w:val="Intense Emphasis"/>
    <w:basedOn w:val="a0"/>
    <w:uiPriority w:val="21"/>
    <w:qFormat/>
    <w:rPr>
      <w:i/>
      <w:iCs/>
      <w:color w:val="365F91" w:themeColor="accent1" w:themeShade="BF"/>
    </w:rPr>
  </w:style>
  <w:style w:type="paragraph" w:styleId="a8">
    <w:name w:val="Intense Quote"/>
    <w:basedOn w:val="a"/>
    <w:next w:val="a"/>
    <w:link w:val="a9"/>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9">
    <w:name w:val="Выделенная цитата Знак"/>
    <w:basedOn w:val="a0"/>
    <w:link w:val="a8"/>
    <w:uiPriority w:val="30"/>
    <w:rPr>
      <w:i/>
      <w:iCs/>
      <w:color w:val="365F91" w:themeColor="accent1" w:themeShade="BF"/>
    </w:rPr>
  </w:style>
  <w:style w:type="character" w:styleId="aa">
    <w:name w:val="Intense Reference"/>
    <w:basedOn w:val="a0"/>
    <w:uiPriority w:val="32"/>
    <w:qFormat/>
    <w:rPr>
      <w:b/>
      <w:bCs/>
      <w:smallCaps/>
      <w:color w:val="365F91" w:themeColor="accent1" w:themeShade="BF"/>
      <w:spacing w:val="5"/>
    </w:rPr>
  </w:style>
  <w:style w:type="paragraph" w:styleId="ab">
    <w:name w:val="No Spacing"/>
    <w:basedOn w:val="a"/>
    <w:uiPriority w:val="1"/>
    <w:qFormat/>
    <w:pPr>
      <w:spacing w:after="0" w:line="240" w:lineRule="auto"/>
    </w:p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f1">
    <w:name w:val="caption"/>
    <w:basedOn w:val="a"/>
    <w:next w:val="a"/>
    <w:uiPriority w:val="35"/>
    <w:unhideWhenUsed/>
    <w:qFormat/>
    <w:pPr>
      <w:spacing w:line="240" w:lineRule="auto"/>
    </w:pPr>
    <w:rPr>
      <w:i/>
      <w:iCs/>
      <w:color w:val="1F497D" w:themeColor="text2"/>
      <w:sz w:val="18"/>
      <w:szCs w:val="18"/>
    </w:rPr>
  </w:style>
  <w:style w:type="character" w:customStyle="1" w:styleId="FootnoteTextChar">
    <w:name w:val="Footnote Text Char"/>
    <w:basedOn w:val="a0"/>
    <w:uiPriority w:val="99"/>
    <w:semiHidden/>
    <w:rPr>
      <w:sz w:val="20"/>
      <w:szCs w:val="20"/>
    </w:rPr>
  </w:style>
  <w:style w:type="paragraph" w:styleId="af2">
    <w:name w:val="endnote text"/>
    <w:basedOn w:val="a"/>
    <w:link w:val="af3"/>
    <w:uiPriority w:val="99"/>
    <w:semiHidden/>
    <w:unhideWhenUsed/>
    <w:pPr>
      <w:spacing w:after="0" w:line="240" w:lineRule="auto"/>
    </w:pPr>
    <w:rPr>
      <w:sz w:val="20"/>
      <w:szCs w:val="20"/>
    </w:rPr>
  </w:style>
  <w:style w:type="character" w:customStyle="1" w:styleId="af3">
    <w:name w:val="Текст концевой сноски Знак"/>
    <w:basedOn w:val="a0"/>
    <w:link w:val="af2"/>
    <w:uiPriority w:val="99"/>
    <w:semiHidden/>
    <w:rPr>
      <w:sz w:val="20"/>
      <w:szCs w:val="20"/>
    </w:rPr>
  </w:style>
  <w:style w:type="character" w:styleId="af4">
    <w:name w:val="endnote reference"/>
    <w:basedOn w:val="a0"/>
    <w:uiPriority w:val="99"/>
    <w:semiHidden/>
    <w:unhideWhenUsed/>
    <w:rPr>
      <w:vertAlign w:val="superscript"/>
    </w:rPr>
  </w:style>
  <w:style w:type="character" w:styleId="af5">
    <w:name w:val="FollowedHyperlink"/>
    <w:basedOn w:val="a0"/>
    <w:uiPriority w:val="99"/>
    <w:semiHidden/>
    <w:unhideWhenUsed/>
    <w:rPr>
      <w:color w:val="800080" w:themeColor="followedHyperlink"/>
      <w:u w:val="single"/>
    </w:r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footnote text"/>
    <w:basedOn w:val="a"/>
    <w:link w:val="af9"/>
    <w:uiPriority w:val="99"/>
    <w:semiHidden/>
    <w:unhideWhenUsed/>
    <w:pPr>
      <w:spacing w:after="0" w:line="240" w:lineRule="auto"/>
    </w:pPr>
    <w:rPr>
      <w:sz w:val="20"/>
      <w:szCs w:val="20"/>
    </w:rPr>
  </w:style>
  <w:style w:type="character" w:customStyle="1" w:styleId="af9">
    <w:name w:val="Текст сноски Знак"/>
    <w:basedOn w:val="a0"/>
    <w:link w:val="af8"/>
    <w:uiPriority w:val="99"/>
    <w:semiHidden/>
    <w:rPr>
      <w:sz w:val="20"/>
      <w:szCs w:val="20"/>
    </w:rPr>
  </w:style>
  <w:style w:type="paragraph" w:styleId="afa">
    <w:name w:val="List Paragraph"/>
    <w:basedOn w:val="a"/>
    <w:uiPriority w:val="34"/>
    <w:qFormat/>
    <w:pPr>
      <w:ind w:left="720"/>
      <w:contextualSpacing/>
    </w:pPr>
  </w:style>
  <w:style w:type="character" w:styleId="afb">
    <w:name w:val="footnote reference"/>
    <w:basedOn w:val="a0"/>
    <w:uiPriority w:val="99"/>
    <w:semiHidden/>
    <w:unhideWhenUsed/>
    <w:rPr>
      <w:vertAlign w:val="superscript"/>
    </w:rPr>
  </w:style>
  <w:style w:type="table" w:styleId="afc">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d">
    <w:name w:val="Balloon Text"/>
    <w:basedOn w:val="a"/>
    <w:link w:val="afe"/>
    <w:uiPriority w:val="99"/>
    <w:semiHidden/>
    <w:unhideWhenUsed/>
    <w:pPr>
      <w:spacing w:after="0" w:line="240" w:lineRule="auto"/>
    </w:pPr>
    <w:rPr>
      <w:rFonts w:ascii="Tahoma" w:hAnsi="Tahoma" w:cs="Tahoma"/>
      <w:sz w:val="16"/>
      <w:szCs w:val="16"/>
    </w:rPr>
  </w:style>
  <w:style w:type="character" w:customStyle="1" w:styleId="afe">
    <w:name w:val="Текст выноски Знак"/>
    <w:basedOn w:val="a0"/>
    <w:link w:val="afd"/>
    <w:uiPriority w:val="99"/>
    <w:semiHidden/>
    <w:rPr>
      <w:rFonts w:ascii="Tahoma" w:hAnsi="Tahoma" w:cs="Tahoma"/>
      <w:sz w:val="16"/>
      <w:szCs w:val="16"/>
    </w:rPr>
  </w:style>
  <w:style w:type="paragraph" w:styleId="aff">
    <w:name w:val="header"/>
    <w:basedOn w:val="a"/>
    <w:link w:val="aff0"/>
    <w:uiPriority w:val="99"/>
    <w:unhideWhenUsed/>
    <w:pPr>
      <w:tabs>
        <w:tab w:val="center" w:pos="4677"/>
        <w:tab w:val="right" w:pos="9355"/>
      </w:tabs>
      <w:spacing w:after="0" w:line="240" w:lineRule="auto"/>
    </w:pPr>
  </w:style>
  <w:style w:type="character" w:customStyle="1" w:styleId="aff0">
    <w:name w:val="Верхний колонтитул Знак"/>
    <w:basedOn w:val="a0"/>
    <w:link w:val="aff"/>
    <w:uiPriority w:val="99"/>
  </w:style>
  <w:style w:type="paragraph" w:styleId="aff1">
    <w:name w:val="footer"/>
    <w:basedOn w:val="a"/>
    <w:link w:val="aff2"/>
    <w:uiPriority w:val="99"/>
    <w:unhideWhenUsed/>
    <w:pPr>
      <w:tabs>
        <w:tab w:val="center" w:pos="4677"/>
        <w:tab w:val="right" w:pos="9355"/>
      </w:tabs>
      <w:spacing w:after="0" w:line="240" w:lineRule="auto"/>
    </w:pPr>
  </w:style>
  <w:style w:type="character" w:customStyle="1" w:styleId="aff2">
    <w:name w:val="Нижний колонтитул Знак"/>
    <w:basedOn w:val="a0"/>
    <w:link w:val="aff1"/>
    <w:uiPriority w:val="99"/>
  </w:style>
  <w:style w:type="character" w:styleId="aff3">
    <w:name w:val="Hyperlink"/>
    <w:basedOn w:val="a0"/>
    <w:uiPriority w:val="99"/>
    <w:unhideWhenUsed/>
    <w:rPr>
      <w:color w:val="0000FF" w:themeColor="hyperlink"/>
      <w:u w:val="single"/>
    </w:rPr>
  </w:style>
  <w:style w:type="character" w:styleId="aff4">
    <w:name w:val="Placeholder Text"/>
    <w:basedOn w:val="a0"/>
    <w:uiPriority w:val="99"/>
    <w:semiHidden/>
    <w:rPr>
      <w:color w:val="808080"/>
    </w:rPr>
  </w:style>
  <w:style w:type="character" w:styleId="aff5">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oitvivt.ru/ru/journal/pdf?id=&#1093;&#1093;&#1093;&#1093;" TargetMode="External"/><Relationship Id="rId13" Type="http://schemas.openxmlformats.org/officeDocument/2006/relationships/hyperlink" Target="mailto:email@mail.ru"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itvivt.ru/downloads/trebovaniya_k_oformleniyu_ssylok_i_spisok_istochnikov.pdf?283"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moitvivt.ru/ru/journal/pdf?id=xxx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mail@mail.ru" TargetMode="External"/><Relationship Id="rId14" Type="http://schemas.openxmlformats.org/officeDocument/2006/relationships/hyperlink" Target="mailto:email@mail.ru" TargetMode="External"/><Relationship Id="rId21" Type="http://schemas.openxmlformats.org/officeDocument/2006/relationships/image" Target="media/image3.png"/><Relationship Id="rId2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F2EEB6-3BFD-4A58-B424-669968E27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606</Words>
  <Characters>4314</Characters>
  <Application>Microsoft Office Word</Application>
  <DocSecurity>0</DocSecurity>
  <Lines>126</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 извлечения информации из неструктурированных текстовых документов</dc:title>
  <dc:subject>Методы и системы искусственного интеллекта, машинное обучение, обработка естественного языка</dc:subject>
  <dc:creator>Dmitriy</dc:creator>
  <cp:keywords>извлечение информации; выбор фрагмента; повторное ранжирование; обработка естественного языка</cp:keywords>
  <dc:description>Детерминированная сборка; идентификатор вариативности 8f6efd56f8b94714</dc:description>
  <cp:lastModifiedBy>User</cp:lastModifiedBy>
  <cp:revision>4</cp:revision>
  <dcterms:created xsi:type="dcterms:W3CDTF">2025-01-13T09:03:00Z</dcterms:created>
  <dcterms:modified xsi:type="dcterms:W3CDTF">2025-01-16T11:24:00Z</dcterms:modified>
</cp:coreProperties>
</file>