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3. Satisfaction of the four motivated properties by existing</w:t>
      </w:r>
      <w:r>
        <w:t xml:space="preserve"> </w:t>
      </w:r>
      <w:r>
        <w:t xml:space="preserve">selectivity definitions and by the candidate measure.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: satisfied substantively (by construction, or verified</w:t>
      </w:r>
      <w:r>
        <w:t xml:space="preserve"> </w:t>
      </w:r>
      <w:r>
        <w:t xml:space="preserve">empirically for the candidate).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✓</m:t>
        </m:r>
        <m:r>
          <m:rPr>
            <m:sty m:val="p"/>
          </m:rPr>
          <m:t>)</m:t>
        </m:r>
      </m:oMath>
      <w:r>
        <w:t xml:space="preserve">: satisfied only</w:t>
      </w:r>
      <w:r>
        <w:t xml:space="preserve"> </w:t>
      </w:r>
      <w:r>
        <w:t xml:space="preserve">vacuously, because the property’s antecedent is never triggered</w:t>
      </w:r>
      <w:r>
        <w:t xml:space="preserve"> </w:t>
      </w:r>
      <w:r>
        <w:t xml:space="preserve">(entropy’s and Gini’s D2, which score no</w:t>
      </w:r>
      <w:r>
        <w:t xml:space="preserve"> </w:t>
      </w:r>
      <m:oMath>
        <m:r>
          <m:t>k</m:t>
        </m:r>
      </m:oMath>
      <w:r>
        <w:t xml:space="preserve">-th ranked affinity;</w:t>
      </w:r>
      <w:r>
        <w:t xml:space="preserve"> </w:t>
      </w:r>
      <w:r>
        <w:t xml:space="preserve">the ratio’s D3, which has no baseline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to be sensitive to),</w:t>
      </w:r>
      <w:r>
        <w:t xml:space="preserve"> </w:t>
      </w:r>
      <w:r>
        <w:t xml:space="preserve">not because the measure does the substantive work the property is</w:t>
      </w:r>
      <w:r>
        <w:t xml:space="preserve"> </w:t>
      </w:r>
      <w:r>
        <w:t xml:space="preserve">meant to verify.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: partially satisfied or satisfied under</w:t>
      </w:r>
      <w:r>
        <w:t xml:space="preserve"> </w:t>
      </w:r>
      <w:r>
        <w:t xml:space="preserve">additional assumptions.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: violated in general.</w:t>
      </w:r>
      <w:r>
        <w:t xml:space="preserve"> </w:t>
      </w:r>
      <w:r>
        <w:t xml:space="preserve">The D1, D2 and D4 verdicts follow from the functional forms set out</w:t>
      </w:r>
      <w:r>
        <w:t xml:space="preserve"> </w:t>
      </w:r>
      <w:r>
        <w:t xml:space="preserve">in Methods. The D3 verdicts follow from the interval-wide</w:t>
      </w:r>
      <w:r>
        <w:t xml:space="preserve"> </w:t>
      </w:r>
      <w:r>
        <w:t xml:space="preserve">definition of D3 (Methods), evaluated on the parameterized forms</w:t>
      </w:r>
      <w:r>
        <w:t xml:space="preserve"> </w:t>
      </w:r>
      <w:r>
        <w:t xml:space="preserve">implemented here.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 Satisfaction of the four motivated properties by existing selectivity definitions and by the candidate measure. \checkmark: satisfied substantively (by construction, or verified empirically for the candidate). (\checkmark): satisfied only vacuously, because the property’s antecedent is never triggered (entropy’s and Gini’s D2, which score no k-th ranked affinity; the ratio’s D3, which has no baseline \beta to be sensitive to), not because the measure does the substantive work the property is meant to verify. \sim: partially satisfied or satisfied under additional assumptions. \times: violated in general. The D1, D2 and D4 verdicts follow from the functional forms set out in Methods. The D3 verdicts follow from the interval-wide definition of D3 (Methods), evaluated on the parameterized forms implemented her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(reliability threshold)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(bounded gap sensitivity)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✓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✓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(distributional consistency)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✓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 (monotonicity, weak off-target)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2026-10-28T19:16:01Z</dcterms:created>
  <dcterms:modified xsi:type="dcterms:W3CDTF">2026-10-28T19:16:01Z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