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ableCaption"/>
      </w:pPr>
      <w:r>
        <w:t xml:space="preserve">Table 1. Spearman correlations between median rankings by definition</w:t>
      </w:r>
      <w:r>
        <w:t xml:space="preserve"> </w:t>
      </w:r>
      <w:r>
        <w:t xml:space="preserve">family. Upper triangle: Davis (</w:t>
      </w:r>
      <m:oMath>
        <m:r>
          <m:t>n</m:t>
        </m:r>
        <m:r>
          <m:rPr>
            <m:sty m:val="p"/>
          </m:rPr>
          <m:t>=</m:t>
        </m:r>
        <m:r>
          <m:t>68</m:t>
        </m:r>
      </m:oMath>
      <w:r>
        <w:t xml:space="preserve">). Lower triangle: Klaeger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222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Spearman correlations between median rankings by definition family. Upper triangle: Davis (n=68). Lower triangle: Klaeger (n=222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S-score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S-score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2026-06-30T14:57:54Z</dcterms:created>
  <dcterms:modified xsi:type="dcterms:W3CDTF">2026-06-30T14:57:54Z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