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2. Spearman correlations between binding profile features and</w:t>
      </w:r>
      <w:r>
        <w:t xml:space="preserve"> </w:t>
      </w:r>
      <w:r>
        <w:t xml:space="preserve">within-family rank instability on the Klaeger dataset (</w:t>
      </w:r>
      <m:oMath>
        <m:r>
          <m:t>n</m:t>
        </m:r>
        <m:r>
          <m:rPr>
            <m:sty m:val="p"/>
          </m:rPr>
          <m:t>=</m:t>
        </m:r>
        <m:r>
          <m:t>206</m:t>
        </m:r>
      </m:oMath>
      <w:r>
        <w:t xml:space="preserve"> </w:t>
      </w:r>
      <w:r>
        <w:t xml:space="preserve">active drugs). Significance: 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 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, ***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Spearman correlations between binding profile features and within-family rank instability on the Klaeger dataset (n=206 active drugs). Significance: * p&lt;0.05, ** p&lt;0.01, *** p&lt;0.001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0.350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0.455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0.166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0.040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</w:t>
            </w:r>
            <m:oMath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–top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gap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0.128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0.109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0.341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affinity std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0.386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0.215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0.176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0.107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affinity range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0.458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0.318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0.163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0.116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0.394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0.282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0.268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sSup>
                <m:e>
                  <m:r>
                    <m:t>0.186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2026-06-30T14:57:55Z</dcterms:created>
  <dcterms:modified xsi:type="dcterms:W3CDTF">2026-06-30T14:57:55Z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