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3. Satisfaction of the four motivated properties by existing</w:t>
      </w:r>
      <w:r>
        <w:t xml:space="preserve"> </w:t>
      </w:r>
      <w:r>
        <w:t xml:space="preserve">selectivity definitions and by the candidate measure.</w:t>
      </w:r>
      <w:r>
        <w:t xml:space="preserve"> </w:t>
      </w:r>
      <m:oMath>
        <m:r>
          <m:rPr>
            <m:sty m:val="p"/>
          </m:rPr>
          <m:t>✓</m:t>
        </m:r>
      </m:oMath>
      <w:r>
        <w:t xml:space="preserve">: satisfied (by construction, or verified empirically for</w:t>
      </w:r>
      <w:r>
        <w:t xml:space="preserve"> </w:t>
      </w:r>
      <w:r>
        <w:t xml:space="preserve">the candidate).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: partially satisfied or satisfied under</w:t>
      </w:r>
      <w:r>
        <w:t xml:space="preserve"> </w:t>
      </w:r>
      <w:r>
        <w:t xml:space="preserve">additional assumptions.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: violated in general.</w:t>
      </w:r>
      <w:r>
        <w:t xml:space="preserve"> </w:t>
      </w:r>
      <w:r>
        <w:t xml:space="preserve">The D1, D2 and D4 verdicts follow from the functional forms. The D3</w:t>
      </w:r>
      <w:r>
        <w:t xml:space="preserve"> </w:t>
      </w:r>
      <w:r>
        <w:t xml:space="preserve">verdicts for the entropy and the Gini are empirical.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atisfaction of the four motivated properties by existing selectivity definitions and by the candidate measure. \checkmark: satisfied (by construction, or verified empirically for the candidate). \sim: partially satisfied or satisfied under additional assumptions. \times: violated in general. The D1, D2 and D4 verdicts follow from the functional forms. The D3 verdicts for the entropy and the Gini are empiric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Candidate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(reliability threshold)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(bounded gap sensitivity)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(distributional consistency)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 (monotonicity, weak off-target)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2026-09-23T18:26:26Z</dcterms:created>
  <dcterms:modified xsi:type="dcterms:W3CDTF">2026-09-23T18:26:26Z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