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2. Spearman correlations between binding profile features and</w:t>
      </w:r>
      <w:r>
        <w:t xml:space="preserve"> </w:t>
      </w:r>
      <w:r>
        <w:t xml:space="preserve">within-family rank instability, on the Klaeger (</w:t>
      </w:r>
      <m:oMath>
        <m:r>
          <m:t>n</m:t>
        </m:r>
        <m:r>
          <m:rPr>
            <m:sty m:val="p"/>
          </m:rPr>
          <m:t>=</m:t>
        </m:r>
        <m:r>
          <m:t>206</m:t>
        </m:r>
      </m:oMath>
      <w:r>
        <w:t xml:space="preserve"> </w:t>
      </w:r>
      <w:r>
        <w:t xml:space="preserve">active drugs)</w:t>
      </w:r>
      <w:r>
        <w:t xml:space="preserve"> </w:t>
      </w:r>
      <w:r>
        <w:t xml:space="preserve">and Davis (</w:t>
      </w:r>
      <m:oMath>
        <m:r>
          <m:t>n</m:t>
        </m:r>
        <m:r>
          <m:rPr>
            <m:sty m:val="p"/>
          </m:rPr>
          <m:t>=</m:t>
        </m:r>
        <m:r>
          <m:t>68</m:t>
        </m:r>
      </m:oMath>
      <w:r>
        <w:t xml:space="preserve">) datasets. Columns are the S-score (S), entropy (E),</w:t>
      </w:r>
      <w:r>
        <w:t xml:space="preserve"> </w:t>
      </w:r>
      <w:r>
        <w:t xml:space="preserve">Gini (G), and ratio (R) families. The ratio family’s dependence on the</w:t>
      </w:r>
      <w:r>
        <w:t xml:space="preserve"> </w:t>
      </w:r>
      <w:r>
        <w:t xml:space="preserve">top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–top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gap replicates strongly on both datasets. The</w:t>
      </w:r>
      <w:r>
        <w:t xml:space="preserve"> </w:t>
      </w:r>
      <w:r>
        <w:t xml:space="preserve">S-score’s dependence on the active-affinity spread does not (no feature</w:t>
      </w:r>
      <w:r>
        <w:t xml:space="preserve"> </w:t>
      </w:r>
      <w:r>
        <w:t xml:space="preserve">is significant on Davis), and neither does Gini’s dependence on</w:t>
      </w:r>
      <w:r>
        <w:t xml:space="preserve"> </w:t>
      </w:r>
      <w:r>
        <w:t xml:space="preserve">active-affinity skew. Significance: *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 **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,</w:t>
      </w:r>
      <w:r>
        <w:t xml:space="preserve"> </w:t>
      </w:r>
      <w:r>
        <w:t xml:space="preserve">***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Table 2. Spearman correlations between binding profile features and within-family rank instability, on the Klaeger (n=206 active drugs) and Davis (n=68) datasets. Columns are the S-score (S), entropy (E), Gini (G), and ratio (R) families. The ratio family’s dependence on the top_1–top_2 gap replicates strongly on both datasets. The S-score’s dependence on the active-affinity spread does not (no feature is significant on Davis), and neither does Gini’s dependence on active-affinity skew. Significance: * p&lt;0.05, ** p&lt;0.01, *** p&lt;0.001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c>
          <w:tcPr/>
          <w:p>
            <w:pPr>
              <w:pStyle w:val="Compact"/>
            </w:pPr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Klaeger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206</m:t>
              </m:r>
            </m:oMath>
            <w:r>
              <w:t xml:space="preserve">)</w:t>
            </w:r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Davis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68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0.272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0.409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0.093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0.040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0.153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0.279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0.300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sSup>
                <m:e>
                  <m:r>
                    <m:t>0.294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</w:t>
            </w:r>
            <m:oMath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–top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gap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0.039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0.082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0.031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0.341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0.079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0.007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0.029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0.444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affinity std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0.281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0.170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0.117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0.107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0.009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0.015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0.005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0.040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affinity range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0.354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0.273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0.102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0.116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0.011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0.111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0.098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0.134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0.314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0.234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0.192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sSup>
                <m:e>
                  <m:r>
                    <m:t>0.186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0.055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0.203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0.187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sSup>
                <m:e>
                  <m:r>
                    <m:t>0.296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affinity skew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0.162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0.045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sSup>
                <m:e>
                  <m:r>
                    <m:t>0.346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0.108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0.026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0.066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0.043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0.069</m:t>
              </m:r>
            </m:oMath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2026-09-21T03:12:10Z</dcterms:created>
  <dcterms:modified xsi:type="dcterms:W3CDTF">2026-09-21T03:12:10Z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