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Towards a Formal Definition of Kinase Inhibitor Selectivity:</w:t>
      </w:r>
      <w:r>
        <w:t xml:space="preserve"> </w:t>
      </w:r>
      <w:r>
        <w:t xml:space="preserve">Empirical Characterization of Definitional Instability and Proposed Desiderata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— S-score, selectivity entropy, Gini coefficient, and ratio-based measures —</w:t>
      </w:r>
      <w:r>
        <w:t xml:space="preserve"> </w:t>
      </w:r>
      <w:r>
        <w:t xml:space="preserve">applied interchangeably without justification.</w:t>
      </w:r>
      <w:r>
        <w:t xml:space="preserve"> </w:t>
      </w:r>
      <w:r>
        <w:t xml:space="preserve">Across two profiling datasets (Davis,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; Klaeger,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), we show these</w:t>
      </w:r>
      <w:r>
        <w:t xml:space="preserve"> </w:t>
      </w:r>
      <w:r>
        <w:t xml:space="preserve">definitions cluster into two families measuring fundamentally different</w:t>
      </w:r>
      <w:r>
        <w:t xml:space="preserve"> </w:t>
      </w:r>
      <w:r>
        <w:t xml:space="preserve">properties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 </w:t>
      </w:r>
      <w:r>
        <w:t xml:space="preserve">between families)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Three instability sources are identified: definitional noise below the detection</w:t>
      </w:r>
      <w:r>
        <w:t xml:space="preserve"> </w:t>
      </w:r>
      <w:r>
        <w:t xml:space="preserve">threshold, ratio-specific instability from near-tied top targets, and</w:t>
      </w:r>
      <w:r>
        <w:t xml:space="preserve"> </w:t>
      </w:r>
      <w:r>
        <w:t xml:space="preserve">distribution-ratio disagreement for promiscuous compounds with a dominant target.</w:t>
      </w:r>
      <w:r>
        <w:t xml:space="preserve"> </w:t>
      </w:r>
      <w:r>
        <w:t xml:space="preserve">Ratio-based rankings are unreliable at any practically used panel size;</w:t>
      </w:r>
      <w:r>
        <w:t xml:space="preserve"> </w:t>
      </w:r>
      <w:r>
        <w:t xml:space="preserve">entropy-based rankings stabilize at approximately 110 kinases.</w:t>
      </w:r>
      <w:r>
        <w:t xml:space="preserve"> </w:t>
      </w:r>
      <w:r>
        <w:t xml:space="preserve">We derive four desiderata that any well-formed selectivity measure should</w:t>
      </w:r>
      <w:r>
        <w:t xml:space="preserve"> </w:t>
      </w:r>
      <w:r>
        <w:t xml:space="preserve">satisfy; no existing definition satisfies all four simultaneously.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Polina Vinogradova, Input Output Global, Singapore.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polina.vinogradova@iohk.io.</w:t>
      </w:r>
      <w:r>
        <w:t xml:space="preserve"> </w:t>
      </w:r>
      <w:r>
        <w:rPr>
          <w:b/>
          <w:bCs/>
        </w:rPr>
        <w:t xml:space="preserve">ORCID:</w:t>
      </w:r>
      <w:r>
        <w:t xml:space="preserve"> </w:t>
      </w:r>
      <w:r>
        <w:t xml:space="preserve">0000-0003-3271-3841.</w:t>
      </w:r>
    </w:p>
    <w:p>
      <w:pPr>
        <w:pStyle w:val="BodyText"/>
      </w:pPr>
      <w:bookmarkStart w:id="9" w:name="sec:intro"/>
      <w:bookmarkEnd w:id="9"/>
    </w:p>
    <w:p>
      <w:pPr>
        <w:pStyle w:val="BodyText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rPr>
          <w:vertAlign w:val="superscript"/>
        </w:rPr>
        <w:t xml:space="preserve">[1]</w:t>
      </w:r>
      <w:r>
        <w:t xml:space="preserve"> </w:t>
      </w:r>
      <w:r>
        <w:t xml:space="preserve">Because the human kinome comprises more than 500 proteins sharing a</w:t>
      </w:r>
      <w:r>
        <w:t xml:space="preserve"> </w:t>
      </w:r>
      <w:r>
        <w:t xml:space="preserve">highly conserved ATP-binding site,</w:t>
      </w:r>
      <w:r>
        <w:rPr>
          <w:vertAlign w:val="superscript"/>
        </w:rPr>
        <w:t xml:space="preserve">[2]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— the degree to which a compound’s binding activity is</w:t>
      </w:r>
      <w:r>
        <w:t xml:space="preserve"> </w:t>
      </w:r>
      <w:r>
        <w:t xml:space="preserve">concentrated on intended rather than off-target kinases — is a primary</w:t>
      </w:r>
      <w:r>
        <w:t xml:space="preserve"> </w:t>
      </w:r>
      <w:r>
        <w:t xml:space="preserve">criterion in lead optimization and a key determinant of the therapeutic window</w:t>
      </w:r>
      <w:r>
        <w:t xml:space="preserve"> </w:t>
      </w:r>
      <w:r>
        <w:t xml:space="preserve">of approved drugs.</w:t>
      </w:r>
      <w:r>
        <w:rPr>
          <w:vertAlign w:val="superscript"/>
        </w:rPr>
        <w:t xml:space="preserve">[3]</w:t>
      </w:r>
    </w:p>
    <w:p>
      <w:pPr>
        <w:pStyle w:val="BodyText"/>
      </w:pPr>
      <w:r>
        <w:t xml:space="preserve">Despite its importance, selectivity is not formally defined.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selectivity entropy,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Gini coefficient,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— 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 —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these definitions is a prerequisite for reproducible</w:t>
      </w:r>
      <w:r>
        <w:t xml:space="preserve"> </w:t>
      </w:r>
      <w:r>
        <w:t xml:space="preserve">Omics/Open Science workflows, ensuring that cross-institutional datasets</w:t>
      </w:r>
      <w:r>
        <w:t xml:space="preserve"> </w:t>
      </w:r>
      <w:r>
        <w:t xml:space="preserve">can be meaningfully integrated.</w:t>
      </w:r>
    </w:p>
    <w:p>
      <w:pPr>
        <w:pStyle w:val="BodyText"/>
      </w:pP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 — which binding profile</w:t>
      </w:r>
      <w:r>
        <w:t xml:space="preserve"> </w:t>
      </w:r>
      <w:r>
        <w:t xml:space="preserve">properties determine when definitions agree or conflict, and why —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</w:t>
      </w:r>
      <w:r>
        <w:t xml:space="preserve"> </w:t>
      </w:r>
      <w:r>
        <w:t xml:space="preserve">When a compound is described as</w:t>
      </w:r>
      <w:r>
        <w:t xml:space="preserve"> </w:t>
      </w:r>
      <w:r>
        <w:t xml:space="preserve">“selective”</w:t>
      </w:r>
      <w:r>
        <w:t xml:space="preserve"> </w:t>
      </w:r>
      <w:r>
        <w:t xml:space="preserve">in the literature, the claim is</w:t>
      </w:r>
      <w:r>
        <w:t xml:space="preserve"> </w:t>
      </w:r>
      <w:r>
        <w:t xml:space="preserve">implicitly conditioned on a specific definition and parameterization that is</w:t>
      </w:r>
      <w:r>
        <w:t xml:space="preserve"> </w:t>
      </w:r>
      <w:r>
        <w:t xml:space="preserve">rarely stated explicitly and almost never justified.</w:t>
      </w:r>
      <w:r>
        <w:t xml:space="preserve"> </w:t>
      </w:r>
      <w:r>
        <w:t xml:space="preserve">This situation is analogous to measuring temperature with instruments whose</w:t>
      </w:r>
      <w:r>
        <w:t xml:space="preserve"> </w:t>
      </w:r>
      <w:r>
        <w:t xml:space="preserve">scales have not been calibrated to a common reference: the measurements are</w:t>
      </w:r>
      <w:r>
        <w:t xml:space="preserve"> </w:t>
      </w:r>
      <w:r>
        <w:t xml:space="preserve">internally consistent but not directly comparable.</w:t>
      </w:r>
    </w:p>
    <w:p>
      <w:pPr>
        <w:pStyle w:val="BodyText"/>
      </w:pPr>
      <w:r>
        <w:t xml:space="preserve">Counterintuitively, we find that the compounds most resistant to</w:t>
      </w:r>
      <w:r>
        <w:t xml:space="preserve"> </w:t>
      </w:r>
      <w:r>
        <w:t xml:space="preserve">definitional disagreement are not the most selective but the most promiscuous:</w:t>
      </w:r>
      <w:r>
        <w:t xml:space="preserve"> </w:t>
      </w:r>
      <w:r>
        <w:t xml:space="preserve">compounds that bind nearly the entire profiled kinome receive consistent</w:t>
      </w:r>
      <w:r>
        <w:t xml:space="preserve"> </w:t>
      </w:r>
      <w:r>
        <w:t xml:space="preserve">rankings regardless of which definition is applied, because all definitions</w:t>
      </w:r>
      <w:r>
        <w:t xml:space="preserve"> </w:t>
      </w:r>
      <w:r>
        <w:t xml:space="preserve">agree they are non-selective.</w:t>
      </w:r>
      <w:r>
        <w:t xml:space="preserve"> </w:t>
      </w:r>
      <w:r>
        <w:t xml:space="preserve">It is compounds at intermediate promiscuity — those with one dominant target</w:t>
      </w:r>
      <w:r>
        <w:t xml:space="preserve"> </w:t>
      </w:r>
      <w:r>
        <w:t xml:space="preserve">and several moderate off-targets, or those with near-identical affinities for</w:t>
      </w:r>
      <w:r>
        <w:t xml:space="preserve"> </w:t>
      </w:r>
      <w:r>
        <w:t xml:space="preserve">their top two targets — that receive contradictory rankings depending on</w:t>
      </w:r>
      <w:r>
        <w:t xml:space="preserve"> </w:t>
      </w:r>
      <w:r>
        <w:t xml:space="preserve">which definition is chosen.</w:t>
      </w:r>
      <w:r>
        <w:t xml:space="preserve"> </w:t>
      </w:r>
      <w:r>
        <w:t xml:space="preserve">This observation points to a deeper problem: the definitions are not merely</w:t>
      </w:r>
      <w:r>
        <w:t xml:space="preserve"> </w:t>
      </w:r>
      <w:r>
        <w:t xml:space="preserve">different operationalizations of the same concept, but answers to genuinely</w:t>
      </w:r>
      <w:r>
        <w:t xml:space="preserve"> </w:t>
      </w:r>
      <w:r>
        <w:t xml:space="preserve">different questions about binding profiles.</w:t>
      </w:r>
    </w:p>
    <w:p>
      <w:pPr>
        <w:pStyle w:val="BodyText"/>
      </w:pPr>
      <w:r>
        <w:t xml:space="preserve">The analogy to measurement theory suggests a remedy.</w:t>
      </w:r>
      <w:r>
        <w:t xml:space="preserve"> </w:t>
      </w:r>
      <w:r>
        <w:t xml:space="preserve">In information theory, 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resolved the question of how</w:t>
      </w:r>
      <w:r>
        <w:t xml:space="preserve"> </w:t>
      </w:r>
      <w:r>
        <w:t xml:space="preserve">to measure uncertainty by identifying axioms that uniquely characterize the</w:t>
      </w:r>
      <w:r>
        <w:t xml:space="preserve"> </w:t>
      </w:r>
      <w:r>
        <w:t xml:space="preserve">entropy functional.</w:t>
      </w:r>
      <w:r>
        <w:t xml:space="preserve"> </w:t>
      </w:r>
      <w:r>
        <w:t xml:space="preserve">In social choice theory, 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resolved — negatively —</w:t>
      </w:r>
      <w:r>
        <w:t xml:space="preserve"> </w:t>
      </w:r>
      <w:r>
        <w:t xml:space="preserve">the question of how to aggregate individual rankings by proving that no</w:t>
      </w:r>
      <w:r>
        <w:t xml:space="preserve"> </w:t>
      </w:r>
      <w:r>
        <w:t xml:space="preserve">aggregation rule can simultaneously satisfy a small set of reasonable</w:t>
      </w:r>
      <w:r>
        <w:t xml:space="preserve"> </w:t>
      </w:r>
      <w:r>
        <w:t xml:space="preserve">requirements.</w:t>
      </w:r>
      <w:r>
        <w:t xml:space="preserve"> </w:t>
      </w:r>
      <w:r>
        <w:t xml:space="preserve">In both cases, the path from empirical observation to formal resolution</w:t>
      </w:r>
      <w:r>
        <w:t xml:space="preserve"> </w:t>
      </w:r>
      <w:r>
        <w:t xml:space="preserve">required first characterizing the behavior of competing approaches and then</w:t>
      </w:r>
      <w:r>
        <w:t xml:space="preserve"> </w:t>
      </w:r>
      <w:r>
        <w:t xml:space="preserve">identifying the properties that distinguish good measures from bad ones.</w:t>
      </w:r>
    </w:p>
    <w:p>
      <w:pPr>
        <w:pStyle w:val="BodyText"/>
      </w:pPr>
      <w:r>
        <w:t xml:space="preserve">This paper takes the first step of that program for kinase inhibitor</w:t>
      </w:r>
      <w:r>
        <w:t xml:space="preserve"> </w:t>
      </w:r>
      <w:r>
        <w:t xml:space="preserve">selectivity.</w:t>
      </w:r>
      <w:r>
        <w:t xml:space="preserve"> </w:t>
      </w:r>
      <w:r>
        <w:t xml:space="preserve">We systematically characterize, across two large profiling datasets, the</w:t>
      </w:r>
      <w:r>
        <w:t xml:space="preserve"> </w:t>
      </w:r>
      <w:r>
        <w:t xml:space="preserve">extent and structural sources of disagreement between existing definitions as</w:t>
      </w:r>
      <w:r>
        <w:t xml:space="preserve"> </w:t>
      </w:r>
      <w:r>
        <w:t xml:space="preserve">their parameters vary.</w:t>
      </w:r>
      <w:r>
        <w:t xml:space="preserve"> </w:t>
      </w:r>
      <w:r>
        <w:t xml:space="preserve">We identify three mechanistically distinct sources of rank instability and show</w:t>
      </w:r>
      <w:r>
        <w:t xml:space="preserve"> </w:t>
      </w:r>
      <w:r>
        <w:t xml:space="preserve">that instability is predictable from the shape of a compound’s binding profile.</w:t>
      </w:r>
      <w:r>
        <w:t xml:space="preserve"> </w:t>
      </w:r>
      <w:r>
        <w:t xml:space="preserve">We then propose four desiderata — necessary properties of any well-formed</w:t>
      </w:r>
      <w:r>
        <w:t xml:space="preserve"> </w:t>
      </w:r>
      <w:r>
        <w:t xml:space="preserve">selectivity measure — motivated directly by these failure modes.</w:t>
      </w:r>
    </w:p>
    <w:p>
      <w:pPr>
        <w:pStyle w:val="BodyText"/>
      </w:pPr>
      <w:r>
        <w:t xml:space="preserve">Specifically, the contributions of this work are as follows.</w:t>
      </w:r>
      <w:r>
        <w:t xml:space="preserve"> </w:t>
      </w:r>
      <w:r>
        <w:t xml:space="preserve">First, we show that existing definitions cluster into two families —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 — that correlate poorly with one another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</w:t>
      </w:r>
      <w:r>
        <w:t xml:space="preserve"> </w:t>
      </w:r>
      <w:r>
        <w:t xml:space="preserve">and measure fundamentally different properties of binding profiles.</w:t>
      </w:r>
      <w:r>
        <w:t xml:space="preserve"> </w:t>
      </w:r>
      <w:r>
        <w:t xml:space="preserve">Second, 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activity.</w:t>
      </w:r>
      <w:r>
        <w:t xml:space="preserve"> </w:t>
      </w:r>
      <w:r>
        <w:t xml:space="preserve">Third, we propose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and show that no existing definition satisfies</w:t>
      </w:r>
      <w:r>
        <w:t xml:space="preserve"> </w:t>
      </w:r>
      <w:r>
        <w:t xml:space="preserve">all four simultaneously.</w:t>
      </w:r>
      <w:r>
        <w:t xml:space="preserve"> </w:t>
      </w:r>
      <w:r>
        <w:t xml:space="preserve">Fourth, we demonstrate that correlations between selectivity scores and</w:t>
      </w:r>
      <w:r>
        <w:t xml:space="preserve"> </w:t>
      </w:r>
      <w:r>
        <w:t xml:space="preserve">clinical adverse event outcomes are null under current data sources, and</w:t>
      </w:r>
      <w:r>
        <w:t xml:space="preserve"> </w:t>
      </w:r>
      <w:r>
        <w:t xml:space="preserve">identify the confounders responsible.</w:t>
      </w:r>
    </w:p>
    <w:p>
      <w:pPr>
        <w:pStyle w:val="BodyText"/>
      </w:pPr>
      <w:r>
        <w:t xml:space="preserve">The desiderata proposed here are intended as the empirical foundation for a</w:t>
      </w:r>
      <w:r>
        <w:t xml:space="preserve"> </w:t>
      </w:r>
      <w:r>
        <w:t xml:space="preserve">future formal axiomatization of kinase inhibitor selectivity, in the tradition</w:t>
      </w:r>
      <w:r>
        <w:t xml:space="preserve"> </w:t>
      </w:r>
      <w:r>
        <w:t xml:space="preserve">of Shannon’s characterization of entropy and Arrow’s analysis of social choice</w:t>
      </w:r>
      <w:r>
        <w:t xml:space="preserve"> </w:t>
      </w:r>
      <w:r>
        <w:t xml:space="preserve">functions.</w:t>
      </w:r>
    </w:p>
    <w:bookmarkEnd w:id="10"/>
    <w:bookmarkStart w:id="13" w:name="sec:related"/>
    <w:p>
      <w:pPr>
        <w:pStyle w:val="Heading1"/>
      </w:pPr>
      <w:r>
        <w:t xml:space="preserve">Related Work</w:t>
      </w:r>
    </w:p>
    <w:bookmarkStart w:id="11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entropy;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defined a thermodynamics-based partition index</w:t>
      </w:r>
      <w:r>
        <w:t xml:space="preserve"> </w:t>
      </w:r>
      <w:r>
        <w:t xml:space="preserve">estimating the fraction of total binding directed to a reference kinase,</w:t>
      </w:r>
      <w:r>
        <w:t xml:space="preserve"> </w:t>
      </w:r>
      <w:r>
        <w:t xml:space="preserve">suited primarily to hit-to-lead optimization against a specified target.</w:t>
      </w:r>
      <w:r>
        <w:t xml:space="preserve"> </w:t>
      </w:r>
      <w:r>
        <w:t xml:space="preserve">Klaeger et al.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subsequently proposed two further metrics —</w:t>
      </w:r>
      <w:r>
        <w:t xml:space="preserve"> </w:t>
      </w:r>
      <w:r>
        <w:t xml:space="preserve">the window score and ranking score — and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rPr>
          <w:vertAlign w:val="superscript"/>
        </w:rPr>
        <w:t xml:space="preserve">[12]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compounds, finding broad consistency between the two sources but noting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values.</w:t>
      </w:r>
      <w:r>
        <w:t xml:space="preserve"> </w:t>
      </w:r>
      <w:r>
        <w:t xml:space="preserve">The sensitivity of rankings to parameter choice — the activity threshold in</w:t>
      </w:r>
      <w:r>
        <w:t xml:space="preserve"> </w:t>
      </w:r>
      <w:r>
        <w:t xml:space="preserve">the S-score, the baseline in the entropy and Gini coefficient, the reference</w:t>
      </w:r>
      <w:r>
        <w:t xml:space="preserve"> </w:t>
      </w:r>
      <w:r>
        <w:t xml:space="preserve">off-target in ratio-based measures — has not been systematically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1"/>
    <w:bookmarkStart w:id="12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rPr>
          <w:vertAlign w:val="superscript"/>
        </w:rPr>
        <w:t xml:space="preserve">[13]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justification;</w:t>
      </w:r>
      <w:r>
        <w:t xml:space="preserve"> </w:t>
      </w:r>
      <w:r>
        <w:t xml:space="preserve">it is not known whether it is the unique function satisfying reasonable</w:t>
      </w:r>
      <w:r>
        <w:t xml:space="preserve"> </w:t>
      </w:r>
      <w:r>
        <w:t xml:space="preserve">selectivity-specific desiderata, or one of many equivalent alternatives.</w:t>
      </w:r>
    </w:p>
    <w:p>
      <w:pPr>
        <w:pStyle w:val="BodyText"/>
      </w:pPr>
      <w:r>
        <w:t xml:space="preserve">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Pavillidis et al.</w:t>
      </w:r>
      <w:r>
        <w:rPr>
          <w:vertAlign w:val="superscript"/>
        </w:rPr>
        <w:t xml:space="preserve">[14]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 — the problem of identifying true facts from conflicting reports of</w:t>
      </w:r>
      <w:r>
        <w:t xml:space="preserve"> </w:t>
      </w:r>
      <w:r>
        <w:t xml:space="preserve">unknown reliability —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Formal methods have been applied to biological systems primarily in the context</w:t>
      </w:r>
      <w:r>
        <w:t xml:space="preserve"> </w:t>
      </w:r>
      <w:r>
        <w:t xml:space="preserve">of process dynamics.</w:t>
      </w:r>
      <w:r>
        <w:t xml:space="preserve"> </w:t>
      </w:r>
      <w:r>
        <w:t xml:space="preserve">Cardelli</w:t>
      </w:r>
      <w:r>
        <w:rPr>
          <w:vertAlign w:val="superscript"/>
        </w:rPr>
        <w:t xml:space="preserve">[15]</w:t>
      </w:r>
      <w:r>
        <w:t xml:space="preserve"> </w:t>
      </w:r>
      <w:r>
        <w:t xml:space="preserve">used the pi-calculus to model molecular biology,</w:t>
      </w:r>
      <w:r>
        <w:t xml:space="preserve"> </w:t>
      </w:r>
      <w:r>
        <w:t xml:space="preserve">and the Beacon Calculus</w:t>
      </w:r>
      <w:r>
        <w:rPr>
          <w:vertAlign w:val="superscript"/>
        </w:rPr>
        <w:t xml:space="preserve">[16]</w:t>
      </w:r>
      <w:r>
        <w:t xml:space="preserve"> </w:t>
      </w:r>
      <w:r>
        <w:t xml:space="preserve">addresses stochastic reaction</w:t>
      </w:r>
      <w:r>
        <w:t xml:space="preserve"> </w:t>
      </w:r>
      <w:r>
        <w:t xml:space="preserve">networks; both verify properties of temporal execution rather than static</w:t>
      </w:r>
      <w:r>
        <w:t xml:space="preserve"> </w:t>
      </w:r>
      <w:r>
        <w:t xml:space="preserve">measurements.</w:t>
      </w:r>
      <w:r>
        <w:t xml:space="preserve"> </w:t>
      </w:r>
      <w:r>
        <w:t xml:space="preserve">Type-theoretic approaches to scientific units of measure, including</w:t>
      </w:r>
      <w:r>
        <w:t xml:space="preserve"> </w:t>
      </w:r>
      <w:r>
        <w:t xml:space="preserve">Kennedy’s</w:t>
      </w:r>
      <w:r>
        <w:rPr>
          <w:vertAlign w:val="superscript"/>
        </w:rPr>
        <w:t xml:space="preserve">[17]</w:t>
      </w:r>
      <w:r>
        <w:t xml:space="preserve"> </w:t>
      </w:r>
      <w:r>
        <w:t xml:space="preserve">F# units-of-measure system and ongoing</w:t>
      </w:r>
      <w:r>
        <w:t xml:space="preserve"> </w:t>
      </w:r>
      <w:r>
        <w:t xml:space="preserve">formalization in Lean 4 Mathlib,</w:t>
      </w:r>
      <w:r>
        <w:rPr>
          <w:vertAlign w:val="superscript"/>
        </w:rPr>
        <w:t xml:space="preserve">[18]</w:t>
      </w:r>
      <w:r>
        <w:t xml:space="preserve"> </w:t>
      </w:r>
      <w:r>
        <w:t xml:space="preserve">enforce dimensional</w:t>
      </w:r>
      <w:r>
        <w:t xml:space="preserve"> </w:t>
      </w:r>
      <w:r>
        <w:t xml:space="preserve">consistency for physical quantities but do not extend to biochemical</w:t>
      </w:r>
      <w:r>
        <w:t xml:space="preserve"> </w:t>
      </w:r>
      <w:r>
        <w:t xml:space="preserve">properties.</w:t>
      </w:r>
      <w:r>
        <w:t xml:space="preserve"> </w:t>
      </w:r>
      <w:r>
        <w:t xml:space="preserve">To our knowledge, axiomatic analysis has not previously been applied to any</w:t>
      </w:r>
      <w:r>
        <w:t xml:space="preserve"> </w:t>
      </w:r>
      <w:r>
        <w:t xml:space="preserve">selectivity or promiscuity measure in drug discovery.</w:t>
      </w:r>
      <w:r>
        <w:t xml:space="preserve"> </w:t>
      </w:r>
      <w:r>
        <w:t xml:space="preserve">The present work proposes empirically motivated desiderata as a foundation for</w:t>
      </w:r>
      <w:r>
        <w:t xml:space="preserve"> </w:t>
      </w:r>
      <w:r>
        <w:t xml:space="preserve">future formal axiomatization.</w:t>
      </w:r>
    </w:p>
    <w:bookmarkEnd w:id="12"/>
    <w:bookmarkEnd w:id="13"/>
    <w:bookmarkStart w:id="18" w:name="sec:methods"/>
    <w:p>
      <w:pPr>
        <w:pStyle w:val="Heading1"/>
      </w:pPr>
      <w:r>
        <w:t xml:space="preserve">Methods</w:t>
      </w:r>
    </w:p>
    <w:bookmarkStart w:id="14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rPr>
          <w:vertAlign w:val="superscript"/>
        </w:rPr>
        <w:t xml:space="preserve">[19]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rPr>
          <w:vertAlign w:val="superscript"/>
        </w:rPr>
        <w:t xml:space="preserve">[20]</w:t>
      </w:r>
      <w:r>
        <w:t xml:space="preserve"> </w:t>
      </w:r>
      <w:r>
        <w:t xml:space="preserve">Pairs for which no binding was detected at the screening concentration of</w:t>
      </w:r>
      <w:r>
        <w:t xml:space="preserve"> </w:t>
      </w:r>
      <w:r>
        <w:t xml:space="preserve">10 </w:t>
      </w:r>
      <m:oMath>
        <m:r>
          <m:t>μ</m:t>
        </m:r>
      </m:oMath>
      <w:r>
        <w:t xml:space="preserve">M were assigned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1 mM, which represents the detection floor of the assay.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entries).</w:t>
      </w:r>
      <w:r>
        <w:t xml:space="preserve"> </w:t>
      </w:r>
      <w:r>
        <w:t xml:space="preserve">No censored or greater-than values are present in the Davis dataset: the assay</w:t>
      </w:r>
      <w:r>
        <w:t xml:space="preserve"> </w:t>
      </w:r>
      <w:r>
        <w:t xml:space="preserve">reports a quantitative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for every compound–kinase pair where activity was</w:t>
      </w:r>
      <w:r>
        <w:t xml:space="preserve"> </w:t>
      </w:r>
      <w:r>
        <w:t xml:space="preserve">detected at 10 </w:t>
      </w:r>
      <m:oMath>
        <m:r>
          <m:t>μ</m:t>
        </m:r>
      </m:oMath>
      <w:r>
        <w:t xml:space="preserve">M, and assigns the detection floor value otherwise.</w:t>
      </w:r>
      <w:r>
        <w:t xml:space="preserve"> </w:t>
      </w:r>
      <w:r>
        <w:t xml:space="preserve">All non-binding pairs are therefore treated as exactly equivalent at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which slightly underestimates true non-binding affinity</w:t>
      </w:r>
      <w:r>
        <w:t xml:space="preserve"> </w:t>
      </w:r>
      <w:r>
        <w:t xml:space="preserve">but is the standard convention for this dataset.</w:t>
      </w:r>
      <w:r>
        <w:rPr>
          <w:vertAlign w:val="superscript"/>
        </w:rPr>
        <w:t xml:space="preserve">[8,20]</w:t>
      </w:r>
    </w:p>
    <w:p>
      <w:pPr>
        <w:pStyle w:val="BodyText"/>
      </w:pPr>
      <w:r>
        <w:t xml:space="preserve">The Klaeger dataset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matrix (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) has 17.9% active entries</w:t>
      </w:r>
      <w:r>
        <w:t xml:space="preserve"> </w:t>
      </w:r>
      <w:r>
        <w:t xml:space="preserve">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for Davis and 3.6% for Klaeger,</w:t>
      </w:r>
      <w:r>
        <w:t xml:space="preserve"> </w:t>
      </w:r>
      <w:r>
        <w:t xml:space="preserve">reflecting the more stringent detection threshold of the chemoproteomic assay.</w:t>
      </w:r>
    </w:p>
    <w:bookmarkEnd w:id="14"/>
    <w:bookmarkStart w:id="15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Four selectivity definitions were implemented, each controlled by one or more</w:t>
      </w:r>
      <w:r>
        <w:t xml:space="preserve"> </w:t>
      </w:r>
      <w:r>
        <w:t xml:space="preserve">parameters whose values are not standardized in the literature.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S-score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is defined as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kinases in the panel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an activity</w:t>
      </w:r>
      <w:r>
        <w:t xml:space="preserve"> </w:t>
      </w:r>
      <w:r>
        <w:t xml:space="preserve">threshold.</w:t>
      </w:r>
      <w:r>
        <w:t xml:space="preserve"> </w:t>
      </w:r>
      <w:r>
        <w:t xml:space="preserve">Lower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 approximately 300 nM to 10 nM.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selectivity entropy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treats the</w:t>
      </w:r>
      <w:r>
        <w:t xml:space="preserve"> </w:t>
      </w:r>
      <w:r>
        <w:t xml:space="preserve">baseline-subtracted binding profile as a probability distribution: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 baseline affinity below which binding is considered</w:t>
      </w:r>
      <w:r>
        <w:t xml:space="preserve"> </w:t>
      </w:r>
      <w:r>
        <w:t xml:space="preserve">negligible.</w:t>
      </w:r>
      <w:r>
        <w:t xml:space="preserve"> </w:t>
      </w:r>
      <w:r>
        <w:t xml:space="preserve">Lower entropy indicates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Gini coefficient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of the baseline-subtracted</w:t>
      </w:r>
      <w:r>
        <w:t xml:space="preserve"> </w:t>
      </w:r>
      <w:r>
        <w:t xml:space="preserve">profile is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sorted in ascending</w:t>
      </w:r>
      <w:r>
        <w:t xml:space="preserve"> </w:t>
      </w:r>
      <w:r>
        <w:t xml:space="preserve">order.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definition measures the gap between the primary target and</w:t>
      </w:r>
      <w:r>
        <w:t xml:space="preserve"> </w:t>
      </w:r>
      <w:r>
        <w:t xml:space="preserve">a specified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denotes the</w:t>
      </w:r>
      <w:r>
        <w:t xml:space="preserve"> </w:t>
      </w:r>
      <m:oMath>
        <m:r>
          <m:t>j</m:t>
        </m:r>
      </m:oMath>
      <w:r>
        <w:t xml:space="preserve">-th largest affinity in the profile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indexes the off-target used as reference.</w:t>
      </w:r>
      <w:r>
        <w:t xml:space="preserve"> </w:t>
      </w:r>
      <w:r>
        <w:t xml:space="preserve">Higher values indicate greater selectivity.</w:t>
      </w:r>
    </w:p>
    <w:bookmarkEnd w:id="15"/>
    <w:bookmarkStart w:id="16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-values;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rPr>
          <w:vertAlign w:val="superscript"/>
        </w:rPr>
        <w:t xml:space="preserve">[21–23]</w:t>
      </w:r>
    </w:p>
    <w:bookmarkEnd w:id="16"/>
    <w:bookmarkStart w:id="17" w:name="sec:methods:outcomes"/>
    <w:p>
      <w:pPr>
        <w:pStyle w:val="Heading2"/>
      </w:pPr>
      <w:r>
        <w:t xml:space="preserve">Clinical Outcome Data</w:t>
      </w:r>
    </w:p>
    <w:p>
      <w:pPr>
        <w:pStyle w:val="FirstParagraph"/>
      </w:pPr>
      <w:r>
        <w:t xml:space="preserve">For the subset of Klaeger compounds that are FDA-approved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 </w:t>
      </w:r>
      <w:r>
        <w:t xml:space="preserve">after</w:t>
      </w:r>
      <w:r>
        <w:t xml:space="preserve"> </w:t>
      </w:r>
      <w:r>
        <w:t xml:space="preserve">excluding drugs with no FAERS records), adverse event report counts were</w:t>
      </w:r>
      <w:r>
        <w:t xml:space="preserve"> </w:t>
      </w:r>
      <w:r>
        <w:t xml:space="preserve">retrieved from the FDA Adverse Event Reporting System (FAERS) via the</w:t>
      </w:r>
      <w:r>
        <w:t xml:space="preserve"> </w:t>
      </w:r>
      <w:r>
        <w:t xml:space="preserve">openFDA API.</w:t>
      </w:r>
      <w:r>
        <w:t xml:space="preserve"> </w:t>
      </w:r>
      <w:r>
        <w:t xml:space="preserve">Total report counts, serious event counts, and death and hospitalization</w:t>
      </w:r>
      <w:r>
        <w:t xml:space="preserve"> </w:t>
      </w:r>
      <w:r>
        <w:t xml:space="preserve">subcounts were retrieved per drug.</w:t>
      </w:r>
      <w:r>
        <w:t xml:space="preserve"> </w:t>
      </w:r>
      <w:r>
        <w:t xml:space="preserve">Serious event rates and death rates were computed by normalizing subcounts by</w:t>
      </w:r>
      <w:r>
        <w:t xml:space="preserve"> </w:t>
      </w:r>
      <w:r>
        <w:t xml:space="preserve">total reports per drug.</w:t>
      </w:r>
    </w:p>
    <w:p>
      <w:pPr>
        <w:pStyle w:val="BodyText"/>
      </w:pPr>
      <w:r>
        <w:t xml:space="preserve">Treatment discontinuation rates due to adverse events were extracted from FDA</w:t>
      </w:r>
      <w:r>
        <w:t xml:space="preserve"> </w:t>
      </w:r>
      <w:r>
        <w:t xml:space="preserve">drug labels retrieved via the openFDA label API for 33 approved drugs with</w:t>
      </w:r>
      <w:r>
        <w:t xml:space="preserve"> </w:t>
      </w:r>
      <w:r>
        <w:t xml:space="preserve">available adverse reactions sections.</w:t>
      </w:r>
      <w:r>
        <w:t xml:space="preserve"> </w:t>
      </w:r>
      <w:r>
        <w:t xml:space="preserve">Label text was reviewed manually to identify the primary clinical trial</w:t>
      </w:r>
      <w:r>
        <w:t xml:space="preserve"> </w:t>
      </w:r>
      <w:r>
        <w:t xml:space="preserve">discontinuation rate attributable to adverse reactions.</w:t>
      </w:r>
    </w:p>
    <w:p>
      <w:pPr>
        <w:pStyle w:val="BodyText"/>
      </w:pPr>
      <w:r>
        <w:t xml:space="preserve">Associations between selectivity scores and each clinical outcome measure were</w:t>
      </w:r>
      <w:r>
        <w:t xml:space="preserve"> </w:t>
      </w:r>
      <w:r>
        <w:t xml:space="preserve">assessed using Spearman correlation across drugs with available data.</w:t>
      </w:r>
    </w:p>
    <w:bookmarkEnd w:id="17"/>
    <w:bookmarkEnd w:id="18"/>
    <w:bookmarkStart w:id="40" w:name="sec:results"/>
    <w:p>
      <w:pPr>
        <w:pStyle w:val="Heading1"/>
      </w:pPr>
      <w:r>
        <w:t xml:space="preserve">Results</w:t>
      </w:r>
    </w:p>
    <w:bookmarkStart w:id="20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19" w:name="tab:correlations"/>
    <w:p>
      <w:pPr>
        <w:pStyle w:val="TableCaption"/>
      </w:pPr>
      <w:r>
        <w:t xml:space="preserve">Table 1. 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9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panel;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20"/>
    <w:bookmarkStart w:id="27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24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instability_by_famil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24"/>
    <w:p>
      <w:pPr>
        <w:pStyle w:val="BodyText"/>
      </w:pPr>
      <w:bookmarkStart w:id="25" w:name="sec:results:instability"/>
      <w:bookmarkEnd w:id="25"/>
    </w:p>
    <w:p>
      <w:pPr>
        <w:pStyle w:val="BodyText"/>
      </w:pPr>
      <w:r>
        <w:t xml:space="preserve">Overall rank instability — measured as the standard deviation of a</w:t>
      </w:r>
      <w:r>
        <w:t xml:space="preserve"> </w:t>
      </w:r>
      <w:r>
        <w:t xml:space="preserve">compound’s rank across all 30 configurations —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(Figure </w:t>
      </w:r>
      <w:hyperlink w:anchor="fig:instability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choices;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across all three</w:t>
      </w:r>
      <w:r>
        <w:t xml:space="preserve"> </w:t>
      </w:r>
      <w:r>
        <w:t xml:space="preserve">distribution-based definitions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0.37</m:t>
        </m:r>
      </m:oMath>
      <w:r>
        <w:t xml:space="preserve">,</w:t>
      </w:r>
      <w:r>
        <w:t xml:space="preserve"> </w:t>
      </w:r>
      <w:r>
        <w:t xml:space="preserve">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consistent with the interpretation that heterogeneous</w:t>
      </w:r>
      <w:r>
        <w:t xml:space="preserve"> </w:t>
      </w:r>
      <w:r>
        <w:t xml:space="preserve">profiles are easier to rank stably than flat ones.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26" w:name="tab:predictors"/>
    <w:p>
      <w:pPr>
        <w:pStyle w:val="TableCaption"/>
      </w:pPr>
      <w:r>
        <w:t xml:space="preserve">Table 2. 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0.474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0.332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0.068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0.293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0.131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0.366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0.141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0.112</m:t>
              </m:r>
            </m:oMath>
          </w:p>
        </w:tc>
      </w:tr>
    </w:tbl>
    <w:bookmarkEnd w:id="26"/>
    <w:bookmarkEnd w:id="27"/>
    <w:bookmarkStart w:id="33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1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binding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1"/>
    <w:p>
      <w:pPr>
        <w:pStyle w:val="BodyText"/>
      </w:pPr>
      <w:bookmarkStart w:id="32" w:name="sec:results:taxonomy"/>
      <w:bookmarkEnd w:id="32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</w:t>
      </w:r>
      <w:r>
        <w:t xml:space="preserve"> </w:t>
      </w:r>
      <w:r>
        <w:t xml:space="preserve">(Figure </w:t>
      </w:r>
      <w:hyperlink w:anchor="fig:profiles">
        <w:r>
          <w:rPr>
            <w:rStyle w:val="Hyperlink"/>
          </w:rPr>
          <w:t xml:space="preserve">2</w:t>
        </w:r>
      </w:hyperlink>
      <w:r>
        <w:t xml:space="preserve">),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Filgotinib;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dataset;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Compounds such as Dovitinib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 pKd units) and</w:t>
      </w:r>
      <w:r>
        <w:t xml:space="preserve"> </w:t>
      </w:r>
      <w:r>
        <w:t xml:space="preserve">BMS-690514 (gap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 show large entropy-ratio disagreement despite</w:t>
      </w:r>
      <w:r>
        <w:t xml:space="preserve"> </w:t>
      </w:r>
      <w:r>
        <w:t xml:space="preserve">having well-defined primary targets, because the ratio definition is sensitive</w:t>
      </w:r>
      <w:r>
        <w:t xml:space="preserve"> </w:t>
      </w:r>
      <w:r>
        <w:t xml:space="preserve">to whether the reference off-target is the second or a lower-ranked kinase.</w:t>
      </w:r>
      <w:r>
        <w:t xml:space="preserve"> </w:t>
      </w:r>
      <w:r>
        <w:t xml:space="preserve">By contrast, 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)</w:t>
      </w:r>
      <w:r>
        <w:t xml:space="preserve"> </w:t>
      </w:r>
      <w:r>
        <w:t xml:space="preserve">shows maximal ratio instability because its two best-bound kinases are</w:t>
      </w:r>
      <w:r>
        <w:t xml:space="preserve"> </w:t>
      </w:r>
      <w:r>
        <w:t xml:space="preserve">essentially indistinguishable, making the ratio highly sensitive to which is</w:t>
      </w:r>
      <w:r>
        <w:t xml:space="preserve"> </w:t>
      </w:r>
      <w:r>
        <w:t xml:space="preserve">designated the primary target.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incorrect;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</w:t>
      </w:r>
      <w:r>
        <w:t xml:space="preserve"> </w:t>
      </w:r>
      <w:r>
        <w:t xml:space="preserve">despite — or rather because of — high promiscuity.</w:t>
      </w:r>
    </w:p>
    <w:bookmarkEnd w:id="33"/>
    <w:bookmarkStart w:id="34" w:name="sec:results:outcomes"/>
    <w:p>
      <w:pPr>
        <w:pStyle w:val="Heading2"/>
      </w:pPr>
      <w:r>
        <w:t xml:space="preserve">Clinical Outcome Correlations</w:t>
      </w:r>
    </w:p>
    <w:p>
      <w:pPr>
        <w:pStyle w:val="FirstParagraph"/>
      </w:pPr>
      <w:r>
        <w:t xml:space="preserve">Spearman correlations between median selectivity rankings and FAERS-derived</w:t>
      </w:r>
      <w:r>
        <w:t xml:space="preserve"> </w:t>
      </w:r>
      <w:r>
        <w:t xml:space="preserve">adverse event rates (serious event rate, death rate, hospitalization rate)</w:t>
      </w:r>
      <w:r>
        <w:t xml:space="preserve"> </w:t>
      </w:r>
      <w:r>
        <w:t xml:space="preserve">across 46 FDA-approved Klaeger compounds were uniformly weak and</w:t>
      </w:r>
      <w:r>
        <w:t xml:space="preserve"> </w:t>
      </w:r>
      <w:r>
        <w:t xml:space="preserve">non-significant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0.18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0.14</m:t>
        </m:r>
      </m:oMath>
      <w:r>
        <w:t xml:space="preserve">).</w:t>
      </w:r>
      <w:r>
        <w:t xml:space="preserve"> </w:t>
      </w:r>
      <w:r>
        <w:t xml:space="preserve">Similarly, correlations between selectivity rankings and FDA label</w:t>
      </w:r>
      <w:r>
        <w:t xml:space="preserve"> </w:t>
      </w:r>
      <w:r>
        <w:t xml:space="preserve">discontinuation rates due to adverse events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drugs) were</w:t>
      </w:r>
      <w:r>
        <w:t xml:space="preserve"> </w:t>
      </w:r>
      <w:r>
        <w:t xml:space="preserve">non-significant across all four definition families</w:t>
      </w:r>
      <w:r>
        <w:t xml:space="preserve"> </w:t>
      </w:r>
      <w:r>
        <w:t xml:space="preserve">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</w:p>
    <w:p>
      <w:pPr>
        <w:pStyle w:val="BodyText"/>
      </w:pPr>
      <w:r>
        <w:t xml:space="preserve">We attribute these null results to confounding inherent in both data sources</w:t>
      </w:r>
      <w:r>
        <w:t xml:space="preserve"> </w:t>
      </w:r>
      <w:r>
        <w:t xml:space="preserve">rather than absence of a biological relationship between selectivity and</w:t>
      </w:r>
      <w:r>
        <w:t xml:space="preserve"> </w:t>
      </w:r>
      <w:r>
        <w:t xml:space="preserve">toxicity.</w:t>
      </w:r>
      <w:r>
        <w:t xml:space="preserve"> </w:t>
      </w:r>
      <w:r>
        <w:t xml:space="preserve">FAERS report counts are driven primarily by prescription volume and indication</w:t>
      </w:r>
      <w:r>
        <w:t xml:space="preserve"> </w:t>
      </w:r>
      <w:r>
        <w:t xml:space="preserve">prevalence rather than drug toxicity per se; drugs approved for common</w:t>
      </w:r>
      <w:r>
        <w:t xml:space="preserve"> </w:t>
      </w:r>
      <w:r>
        <w:t xml:space="preserve">conditions (e.g. tofacitinib for rheumatoid arthritis, palbociclib for breast</w:t>
      </w:r>
      <w:r>
        <w:t xml:space="preserve"> </w:t>
      </w:r>
      <w:r>
        <w:t xml:space="preserve">cancer) accumulate large report counts regardless of their adverse event</w:t>
      </w:r>
      <w:r>
        <w:t xml:space="preserve"> </w:t>
      </w:r>
      <w:r>
        <w:t xml:space="preserve">profiles relative to alternative therapies.</w:t>
      </w:r>
      <w:r>
        <w:t xml:space="preserve"> </w:t>
      </w:r>
      <w:r>
        <w:t xml:space="preserve">Discontinuation rates from drug labels reflect the clinical trial populations</w:t>
      </w:r>
      <w:r>
        <w:t xml:space="preserve"> </w:t>
      </w:r>
      <w:r>
        <w:t xml:space="preserve">and indication-specific toxicity expectations for those populations, making</w:t>
      </w:r>
      <w:r>
        <w:t xml:space="preserve"> </w:t>
      </w:r>
      <w:r>
        <w:t xml:space="preserve">cross-indication comparisons unreliable.</w:t>
      </w:r>
      <w:r>
        <w:t xml:space="preserve"> </w:t>
      </w:r>
      <w:r>
        <w:t xml:space="preserve">A rigorous test of the relationship between in vitro selectivity and clinical</w:t>
      </w:r>
      <w:r>
        <w:t xml:space="preserve"> </w:t>
      </w:r>
      <w:r>
        <w:t xml:space="preserve">toxicity would require indication-stratified, treatment-related adverse event</w:t>
      </w:r>
      <w:r>
        <w:t xml:space="preserve"> </w:t>
      </w:r>
      <w:r>
        <w:t xml:space="preserve">rates from randomized controlled trials with matched comparators, which are not</w:t>
      </w:r>
      <w:r>
        <w:t xml:space="preserve"> </w:t>
      </w:r>
      <w:r>
        <w:t xml:space="preserve">available in a standardized form across the breadth of kinase inhibitors</w:t>
      </w:r>
      <w:r>
        <w:t xml:space="preserve"> </w:t>
      </w:r>
      <w:r>
        <w:t xml:space="preserve">studied here.</w:t>
      </w:r>
    </w:p>
    <w:bookmarkEnd w:id="34"/>
    <w:bookmarkStart w:id="39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constitutes a fifth source of evidence that ratio-based definitions</w:t>
      </w:r>
      <w:r>
        <w:t xml:space="preserve"> </w:t>
      </w:r>
      <w:r>
        <w:t xml:space="preserve">measure a qualitatively different property from distribution-based definitions,</w:t>
      </w:r>
      <w:r>
        <w:t xml:space="preserve"> </w:t>
      </w:r>
      <w:r>
        <w:t xml:space="preserve">and reinforces D2 (bounded gap sensitivity) as a necessary desideratum.</w:t>
      </w:r>
    </w:p>
    <w:bookmarkStart w:id="38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panel_size_stabilit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38"/>
    <w:bookmarkEnd w:id="39"/>
    <w:bookmarkEnd w:id="40"/>
    <w:bookmarkStart w:id="46" w:name="sec:desiderata"/>
    <w:p>
      <w:pPr>
        <w:pStyle w:val="Heading1"/>
      </w:pPr>
      <w:r>
        <w:t xml:space="preserve">Desiderata for a Well-Formed Selectivity Measure</w:t>
      </w:r>
    </w:p>
    <w:p>
      <w:pPr>
        <w:pStyle w:val="FirstParagraph"/>
      </w:pPr>
      <w:r>
        <w:t xml:space="preserve">The empirical findings of the Results section motivate four properties</w:t>
      </w:r>
      <w:r>
        <w:t xml:space="preserve"> </w:t>
      </w:r>
      <w:r>
        <w:t xml:space="preserve">that any well-formed kinase inhibitor selectivity measure should satisfy.</w:t>
      </w:r>
      <w:r>
        <w:t xml:space="preserve"> </w:t>
      </w:r>
      <w:r>
        <w:t xml:space="preserve">We present these as desiderata rather than axioms: they are necessary</w:t>
      </w:r>
      <w:r>
        <w:t xml:space="preserve"> </w:t>
      </w:r>
      <w:r>
        <w:t xml:space="preserve">conditions motivated by observed failure modes of existing definitions, but</w:t>
      </w:r>
      <w:r>
        <w:t xml:space="preserve"> </w:t>
      </w:r>
      <w:r>
        <w:t xml:space="preserve">they are not yet proven to be jointly sufficient to characterize a unique</w:t>
      </w:r>
      <w:r>
        <w:t xml:space="preserve"> </w:t>
      </w:r>
      <w:r>
        <w:t xml:space="preserve">measure, nor is it known whether they are jointly satisfiable.</w:t>
      </w:r>
      <w:r>
        <w:t xml:space="preserve"> </w:t>
      </w:r>
      <w:r>
        <w:t xml:space="preserve">Establishing these properties formally is the subject of future work.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bookmarkStart w:id="41" w:name="d1-reliability-threshold."/>
    <w:p>
      <w:pPr>
        <w:pStyle w:val="Heading4"/>
      </w:pPr>
      <w:r>
        <w:t xml:space="preserve">D1 — Reliability threshold.</w:t>
      </w:r>
    </w:p>
    <w:p>
      <w:pPr>
        <w:pStyle w:val="FirstParagraph"/>
      </w:pP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binding;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bookmarkEnd w:id="41"/>
    <w:bookmarkStart w:id="42" w:name="d2-bounded-gap-sensitivity."/>
    <w:p>
      <w:pPr>
        <w:pStyle w:val="Heading4"/>
      </w:pPr>
      <w:r>
        <w:t xml:space="preserve">D2 — Bounded gap sensitivity.</w:t>
      </w:r>
    </w:p>
    <w:p>
      <w:pPr>
        <w:pStyle w:val="FirstParagraph"/>
      </w:pP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do not privilege any single pairwise comparison.</w:t>
      </w:r>
    </w:p>
    <w:bookmarkEnd w:id="42"/>
    <w:bookmarkStart w:id="43" w:name="d3-distributional-consistency."/>
    <w:p>
      <w:pPr>
        <w:pStyle w:val="Heading4"/>
      </w:pPr>
      <w:r>
        <w:t xml:space="preserve">D3 — Distributional consistency.</w:t>
      </w:r>
    </w:p>
    <w:p>
      <w:pPr>
        <w:pStyle w:val="FirstParagraph"/>
      </w:pP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bookmarkEnd w:id="43"/>
    <w:bookmarkStart w:id="45" w:name="Xfa395bfc7f57b26bc6db33f24618a71aa662a1d"/>
    <w:p>
      <w:pPr>
        <w:pStyle w:val="Heading4"/>
      </w:pPr>
      <w:r>
        <w:t xml:space="preserve">D4 — Monotonicity under weak off-target addition.</w:t>
      </w:r>
    </w:p>
    <w:p>
      <w:pPr>
        <w:pStyle w:val="FirstParagraph"/>
      </w:pP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can violate this property: if the new weak interaction</w:t>
      </w:r>
      <w:r>
        <w:t xml:space="preserve"> </w:t>
      </w:r>
      <w:r>
        <w:t xml:space="preserve">becomes the reference 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the ratio to the primary target may</w:t>
      </w:r>
      <w:r>
        <w:t xml:space="preserve"> </w:t>
      </w:r>
      <w:r>
        <w:t xml:space="preserve">increase, artifactually improving the apparent selectivity score.</w:t>
      </w:r>
      <w:r>
        <w:t xml:space="preserve"> </w:t>
      </w:r>
      <w:r>
        <w:t xml:space="preserve">This failure mode is practically relevant when profiling panels differ in size</w:t>
      </w:r>
      <w:r>
        <w:t xml:space="preserve"> </w:t>
      </w:r>
      <w:r>
        <w:t xml:space="preserve">or composition across experiments, as is common when comparing selectivity</w:t>
      </w:r>
      <w:r>
        <w:t xml:space="preserve"> </w:t>
      </w:r>
      <w:r>
        <w:t xml:space="preserve">across different assay platforms or across datasets such as Davis and Klaeger.</w:t>
      </w:r>
      <w:r>
        <w:t xml:space="preserve"> </w:t>
      </w:r>
      <w:r>
        <w:t xml:space="preserve">Distribution-based definitions satisfy D4 naturally, since adding a</w:t>
      </w:r>
      <w:r>
        <w:t xml:space="preserve"> </w:t>
      </w:r>
      <w:r>
        <w:t xml:space="preserve">sub-threshold term to the probability distribution decreases or preserves</w:t>
      </w:r>
      <w:r>
        <w:t xml:space="preserve"> </w:t>
      </w:r>
      <w:r>
        <w:t xml:space="preserve">entropy and Gini.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existing definitions satisfy each</w:t>
      </w:r>
      <w:r>
        <w:t xml:space="preserve"> </w:t>
      </w:r>
      <w:r>
        <w:t xml:space="preserve">desideratum.</w:t>
      </w:r>
      <w:r>
        <w:t xml:space="preserve"> </w:t>
      </w:r>
      <w:r>
        <w:t xml:space="preserve">No existing definition satisfies all four simultaneously.</w:t>
      </w:r>
      <w:r>
        <w:t xml:space="preserve"> </w:t>
      </w:r>
      <w:r>
        <w:t xml:space="preserve">Whether a definition satisfying all four exists, and whether the four desiderata</w:t>
      </w:r>
      <w:r>
        <w:t xml:space="preserve"> </w:t>
      </w:r>
      <w:r>
        <w:t xml:space="preserve">are jointly consistent, are open questions that we identify as the primary</w:t>
      </w:r>
      <w:r>
        <w:t xml:space="preserve"> </w:t>
      </w:r>
      <w:r>
        <w:t xml:space="preserve">targets of a formal axiomatization.</w:t>
      </w:r>
    </w:p>
    <w:bookmarkStart w:id="44" w:name="tab:desiderata"/>
    <w:p>
      <w:pPr>
        <w:pStyle w:val="TableCaption"/>
      </w:pPr>
      <w:r>
        <w:t xml:space="preserve">Table 3. Satisfaction of desiderata by existing selectivity definitions.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by construction.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atisfaction of desiderata by existing selectivity definitions. \checkmark: satisfied by construction. \sim: partially satisfied or satisfied under additional assumptions. \times: violated in genera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Desideratum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4"/>
    <w:bookmarkEnd w:id="45"/>
    <w:bookmarkEnd w:id="46"/>
    <w:bookmarkStart w:id="52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),</w:t>
      </w:r>
      <w:r>
        <w:t xml:space="preserve"> </w:t>
      </w:r>
      <w:r>
        <w:t xml:space="preserve">and the sources of disagreement are mechanistically interpretable rather than</w:t>
      </w:r>
      <w:r>
        <w:t xml:space="preserve"> </w:t>
      </w:r>
      <w:r>
        <w:t xml:space="preserve">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bookmarkStart w:id="47" w:name="X5b87559a6c76d4faeea8d0d24aa5e07da6a4ac8"/>
    <w:p>
      <w:pPr>
        <w:pStyle w:val="Heading2"/>
      </w:pPr>
      <w:r>
        <w:t xml:space="preserve">The Two-Family Structure Reflects a Conceptual Distinction</w:t>
      </w:r>
    </w:p>
    <w:p>
      <w:pPr>
        <w:pStyle w:val="FirstParagraph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The disagreement is therefore not a defect to be corrected by choosing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definition, but a signal that the field has not agreed on what</w:t>
      </w:r>
      <w:r>
        <w:t xml:space="preserve"> </w:t>
      </w:r>
      <w:r>
        <w:t xml:space="preserve">selectivity means.</w:t>
      </w:r>
      <w:r>
        <w:t xml:space="preserve"> </w:t>
      </w:r>
      <w:r>
        <w:t xml:space="preserve">The desiderata proposed in the Desiderata section are an attempt to make</w:t>
      </w:r>
      <w:r>
        <w:t xml:space="preserve"> </w:t>
      </w:r>
      <w:r>
        <w:t xml:space="preserve">this question precise enough that it can be answered formally.</w:t>
      </w:r>
    </w:p>
    <w:bookmarkEnd w:id="47"/>
    <w:bookmarkStart w:id="48" w:name="X072d385851efccb7b10eae7a092318f59024522"/>
    <w:p>
      <w:pPr>
        <w:pStyle w:val="Heading2"/>
      </w:pPr>
      <w:r>
        <w:t xml:space="preserve">The Historical Roots of Definitional Ambiguity</w:t>
      </w:r>
    </w:p>
    <w:p>
      <w:pPr>
        <w:pStyle w:val="FirstParagraph"/>
      </w:pPr>
      <w:r>
        <w:t xml:space="preserve">The coexistence of ratio-based and distribution-based selectivity definitions</w:t>
      </w:r>
      <w:r>
        <w:t xml:space="preserve"> </w:t>
      </w:r>
      <w:r>
        <w:t xml:space="preserve">in the kinase inhibitor literature has a historical explanation rooted in the</w:t>
      </w:r>
      <w:r>
        <w:t xml:space="preserve"> </w:t>
      </w:r>
      <w:r>
        <w:t xml:space="preserve">structure of the selectivity question itself.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pairwise: how much more potently does a compound bind target A than target B?</w:t>
      </w:r>
      <w:r>
        <w:t xml:space="preserve"> </w:t>
      </w:r>
      <w:r>
        <w:t xml:space="preserve">IUPAC formalizes this for analytical methods as a selectivity coefficient —</w:t>
      </w:r>
      <w:r>
        <w:t xml:space="preserve"> </w:t>
      </w:r>
      <w:r>
        <w:t xml:space="preserve">the ratio of binding constants for analyte and interferent — and organic</w:t>
      </w:r>
      <w:r>
        <w:t xml:space="preserve"> </w:t>
      </w:r>
      <w:r>
        <w:t xml:space="preserve">chemistry quantifies chemo-, regio-, and stereoselectivity as ratios of</w:t>
      </w:r>
      <w:r>
        <w:t xml:space="preserve"> </w:t>
      </w:r>
      <w:r>
        <w:t xml:space="preserve">competing rate constants.</w:t>
      </w:r>
      <w:r>
        <w:rPr>
          <w:vertAlign w:val="superscript"/>
        </w:rPr>
        <w:t xml:space="preserve">[24]</w:t>
      </w:r>
      <w:r>
        <w:t xml:space="preserve"> </w:t>
      </w:r>
      <w:r>
        <w:t xml:space="preserve">These ratio definitions are appropriate because the question is binary.</w:t>
      </w:r>
    </w:p>
    <w:p>
      <w:pPr>
        <w:pStyle w:val="BodyText"/>
      </w:pPr>
      <w:r>
        <w:t xml:space="preserve">Kinase inhibitor selectivity, by contrast, is a distributional question: how</w:t>
      </w:r>
      <w:r>
        <w:t xml:space="preserve"> </w:t>
      </w:r>
      <w:r>
        <w:t xml:space="preserve">concentrated is a compound’s binding activity across a panel of hundreds of</w:t>
      </w:r>
      <w:r>
        <w:t xml:space="preserve"> </w:t>
      </w:r>
      <w:r>
        <w:t xml:space="preserve">kinases?</w:t>
      </w:r>
      <w:r>
        <w:t xml:space="preserve"> </w:t>
      </w:r>
      <w:r>
        <w:t xml:space="preserve">This is structurally different from a pairwise comparison, and ratio-based</w:t>
      </w:r>
      <w:r>
        <w:t xml:space="preserve"> </w:t>
      </w:r>
      <w:r>
        <w:t xml:space="preserve">measures are poorly suited to it precisely because they discard all but two</w:t>
      </w:r>
      <w:r>
        <w:t xml:space="preserve"> </w:t>
      </w:r>
      <w:r>
        <w:t xml:space="preserve">data points from a profile of 300–500 kinases, as the panel size analysis of</w:t>
      </w:r>
      <w:r>
        <w:t xml:space="preserve"> </w:t>
      </w:r>
      <w:r>
        <w:t xml:space="preserve">the panel size analysis makes quantitative.</w:t>
      </w:r>
      <w:r>
        <w:t xml:space="preserve"> </w:t>
      </w:r>
      <w:r>
        <w:t xml:space="preserve">The entropy and Gini definitions were introduced specifically because</w:t>
      </w:r>
      <w:r>
        <w:t xml:space="preserve"> </w:t>
      </w:r>
      <w:r>
        <w:t xml:space="preserve">researchers recognized that ratio measures were inadequate for large panels,</w:t>
      </w:r>
      <w:r>
        <w:t xml:space="preserve"> </w:t>
      </w:r>
      <w:r>
        <w:t xml:space="preserve">but the older definitions were never retired.</w:t>
      </w:r>
      <w:r>
        <w:t xml:space="preserve"> </w:t>
      </w:r>
      <w:r>
        <w:t xml:space="preserve">The result is a field that applies pairwise measures to distributional</w:t>
      </w:r>
      <w:r>
        <w:t xml:space="preserve"> </w:t>
      </w:r>
      <w:r>
        <w:t xml:space="preserve">questions and distributional measures to pairwise questions, without a</w:t>
      </w:r>
      <w:r>
        <w:t xml:space="preserve"> </w:t>
      </w:r>
      <w:r>
        <w:t xml:space="preserve">principled basis for choosing between them.</w:t>
      </w:r>
      <w:r>
        <w:t xml:space="preserve"> </w:t>
      </w:r>
      <w:r>
        <w:t xml:space="preserve">The desiderata proposed above can be understood as an attempt</w:t>
      </w:r>
      <w:r>
        <w:t xml:space="preserve"> </w:t>
      </w:r>
      <w:r>
        <w:t xml:space="preserve">to make this distinction precise: D2 (bounded gap sensitivity) and D4</w:t>
      </w:r>
      <w:r>
        <w:t xml:space="preserve"> </w:t>
      </w:r>
      <w:r>
        <w:t xml:space="preserve">(monotonicity) are properties that ratio definitions violate specifically</w:t>
      </w:r>
      <w:r>
        <w:t xml:space="preserve"> </w:t>
      </w:r>
      <w:r>
        <w:t xml:space="preserve">because they treat a distributional problem as pairwise, while D3</w:t>
      </w:r>
      <w:r>
        <w:t xml:space="preserve"> </w:t>
      </w:r>
      <w:r>
        <w:t xml:space="preserve">(distributional consistency) is a property that ratio definitions satisfy</w:t>
      </w:r>
      <w:r>
        <w:t xml:space="preserve"> </w:t>
      </w:r>
      <w:r>
        <w:t xml:space="preserve">trivially because they do not use a distributional baseline at all.</w:t>
      </w:r>
    </w:p>
    <w:bookmarkEnd w:id="48"/>
    <w:bookmarkStart w:id="49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consistently;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49"/>
    <w:bookmarkStart w:id="50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is limited to two profiling datasets that, while large and</w:t>
      </w:r>
      <w:r>
        <w:t xml:space="preserve"> </w:t>
      </w:r>
      <w:r>
        <w:t xml:space="preserve">well-characterized, represent a small fraction of the chemical and kinase space</w:t>
      </w:r>
      <w:r>
        <w:t xml:space="preserve"> </w:t>
      </w:r>
      <w:r>
        <w:t xml:space="preserve">relevant to drug discovery.</w:t>
      </w:r>
      <w:r>
        <w:t xml:space="preserve"> </w:t>
      </w:r>
      <w:r>
        <w:t xml:space="preserve">Davis covers 68 compounds and 433 kinases using a fixed-concentration</w:t>
      </w:r>
      <w:r>
        <w:t xml:space="preserve"> </w:t>
      </w:r>
      <w:r>
        <w:t xml:space="preserve">competition binding assay; Klaeger covers 222 clinical compounds and 343</w:t>
      </w:r>
      <w:r>
        <w:t xml:space="preserve"> </w:t>
      </w:r>
      <w:r>
        <w:t xml:space="preserve">kinases using chemoproteomic dose–response profiling.</w:t>
      </w:r>
      <w:r>
        <w:t xml:space="preserve"> </w:t>
      </w:r>
      <w:r>
        <w:t xml:space="preserve">The two assay technologies are not directly comparable, and the difference in</w:t>
      </w:r>
      <w:r>
        <w:t xml:space="preserve"> </w:t>
      </w:r>
      <w:r>
        <w:t xml:space="preserve">active compound fractions (17.9% for Davis vs. 3.6% for Klaeger) reflects</w:t>
      </w:r>
      <w:r>
        <w:t xml:space="preserve"> </w:t>
      </w:r>
      <w:r>
        <w:t xml:space="preserve">both genuine selectivity differences and assay-specific detection thresholds.</w:t>
      </w:r>
      <w:r>
        <w:t xml:space="preserve"> </w:t>
      </w:r>
      <w:r>
        <w:t xml:space="preserve">Findings should be interpreted in light of these technological differences.</w:t>
      </w:r>
    </w:p>
    <w:p>
      <w:pPr>
        <w:pStyle w:val="BodyText"/>
      </w:pPr>
      <w:r>
        <w:t xml:space="preserve">The clinical outcome analysis is limited by the observational nature of FAERS</w:t>
      </w:r>
      <w:r>
        <w:t xml:space="preserve"> </w:t>
      </w:r>
      <w:r>
        <w:t xml:space="preserve">data and the heterogeneity of FDA label discontinuation rates across indications.</w:t>
      </w:r>
      <w:r>
        <w:t xml:space="preserve"> </w:t>
      </w:r>
      <w:r>
        <w:t xml:space="preserve">The null results reported in the Clinical Outcome Correlations section are consistent</w:t>
      </w:r>
      <w:r>
        <w:t xml:space="preserve"> </w:t>
      </w:r>
      <w:r>
        <w:t xml:space="preserve">with a genuine absence of correlation between in vitro selectivity and clinical</w:t>
      </w:r>
      <w:r>
        <w:t xml:space="preserve"> </w:t>
      </w:r>
      <w:r>
        <w:t xml:space="preserve">toxicity, but they are equally consistent with the confounders identified</w:t>
      </w:r>
      <w:r>
        <w:t xml:space="preserve"> </w:t>
      </w:r>
      <w:r>
        <w:t xml:space="preserve">therein.</w:t>
      </w:r>
      <w:r>
        <w:t xml:space="preserve"> </w:t>
      </w:r>
      <w:r>
        <w:t xml:space="preserve">A properly controlled study would require prospective collection of</w:t>
      </w:r>
      <w:r>
        <w:t xml:space="preserve"> </w:t>
      </w:r>
      <w:r>
        <w:t xml:space="preserve">treatment-related adverse event rates stratified by indication, which is not</w:t>
      </w:r>
      <w:r>
        <w:t xml:space="preserve"> </w:t>
      </w:r>
      <w:r>
        <w:t xml:space="preserve">currently available in a standardized form across the breadth of approved</w:t>
      </w:r>
      <w:r>
        <w:t xml:space="preserve"> </w:t>
      </w:r>
      <w:r>
        <w:t xml:space="preserve">kinase inhibitors.</w:t>
      </w:r>
    </w:p>
    <w:p>
      <w:pPr>
        <w:pStyle w:val="BodyText"/>
      </w:pPr>
      <w:r>
        <w:t xml:space="preserve">The desiderata proposed above are necessary</w:t>
      </w:r>
      <w:r>
        <w:t xml:space="preserve"> </w:t>
      </w:r>
      <w:r>
        <w:t xml:space="preserve">conditions motivated by empirical failure modes; they are not proven to be</w:t>
      </w:r>
      <w:r>
        <w:t xml:space="preserve"> </w:t>
      </w:r>
      <w:r>
        <w:t xml:space="preserve">sufficient to uniquely characterize a selectivity measure, and it is not known</w:t>
      </w:r>
      <w:r>
        <w:t xml:space="preserve"> </w:t>
      </w:r>
      <w:r>
        <w:t xml:space="preserve">whether they are jointly satisfiable.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and the empirical findings</w:t>
      </w:r>
      <w:r>
        <w:t xml:space="preserve"> </w:t>
      </w:r>
      <w:r>
        <w:t xml:space="preserve">of this study; a formal proof of satisfaction or violation for each</w:t>
      </w:r>
      <w:r>
        <w:t xml:space="preserve"> </w:t>
      </w:r>
      <w:r>
        <w:t xml:space="preserve">desideratum–definition pair is left for future work.</w:t>
      </w:r>
    </w:p>
    <w:bookmarkEnd w:id="50"/>
    <w:bookmarkStart w:id="51" w:name="relation-to-formal-methods"/>
    <w:p>
      <w:pPr>
        <w:pStyle w:val="Heading2"/>
      </w:pPr>
      <w:r>
        <w:t xml:space="preserve">Relation to Formal Methods</w:t>
      </w:r>
    </w:p>
    <w:p>
      <w:pPr>
        <w:pStyle w:val="FirstParagraph"/>
      </w:pPr>
      <w:r>
        <w:t xml:space="preserve">The approach taken here — characterizing the empirical behavior of competing</w:t>
      </w:r>
      <w:r>
        <w:t xml:space="preserve"> </w:t>
      </w:r>
      <w:r>
        <w:t xml:space="preserve">definitions to motivate formal desiderata — follows a methodology well</w:t>
      </w:r>
      <w:r>
        <w:t xml:space="preserve"> </w:t>
      </w:r>
      <w:r>
        <w:t xml:space="preserve">established in adjacent fields.</w:t>
      </w:r>
      <w:r>
        <w:t xml:space="preserve"> </w:t>
      </w:r>
      <w:r>
        <w:t xml:space="preserve">Shannon’s derivation of entropy began with the observation that several</w:t>
      </w:r>
      <w:r>
        <w:t xml:space="preserve"> </w:t>
      </w:r>
      <w:r>
        <w:t xml:space="preserve">reasonable-seeming measures of uncertainty existed and proceeded to identify</w:t>
      </w:r>
      <w:r>
        <w:t xml:space="preserve"> </w:t>
      </w:r>
      <w:r>
        <w:t xml:space="preserve">the axioms that single out one uniquely.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Arrow’s impossibility theorem began with the observation that several</w:t>
      </w:r>
      <w:r>
        <w:t xml:space="preserve"> </w:t>
      </w:r>
      <w:r>
        <w:t xml:space="preserve">reasonable voting rules existed and proved that no rule satisfies all</w:t>
      </w:r>
      <w:r>
        <w:t xml:space="preserve"> </w:t>
      </w:r>
      <w:r>
        <w:t xml:space="preserve">desirable properties simultaneously.</w:t>
      </w:r>
      <w:r>
        <w:rPr>
          <w:vertAlign w:val="superscript"/>
        </w:rPr>
        <w:t xml:space="preserve">[11]</w:t>
      </w:r>
    </w:p>
    <w:p>
      <w:pPr>
        <w:pStyle w:val="BodyText"/>
      </w:pPr>
      <w:r>
        <w:t xml:space="preserve">The present work occupies the empirical stage of this process: we have</w:t>
      </w:r>
      <w:r>
        <w:t xml:space="preserve"> </w:t>
      </w:r>
      <w:r>
        <w:t xml:space="preserve">characterized where and why existing definitions disagree, and proposed</w:t>
      </w:r>
      <w:r>
        <w:t xml:space="preserve"> </w:t>
      </w:r>
      <w:r>
        <w:t xml:space="preserve">properties that any satisfactory definition should have.</w:t>
      </w:r>
      <w:r>
        <w:t xml:space="preserve"> </w:t>
      </w:r>
      <w:r>
        <w:t xml:space="preserve">Whether a definition satisfying all four desiderata exists, whether the</w:t>
      </w:r>
      <w:r>
        <w:t xml:space="preserve"> </w:t>
      </w:r>
      <w:r>
        <w:t xml:space="preserve">desiderata are jointly consistent, and whether an impossibility result holds,</w:t>
      </w:r>
      <w:r>
        <w:t xml:space="preserve"> </w:t>
      </w:r>
      <w:r>
        <w:t xml:space="preserve">are questions for a formal axiomatization.</w:t>
      </w:r>
      <w:r>
        <w:t xml:space="preserve"> </w:t>
      </w:r>
      <w:r>
        <w:t xml:space="preserve">We anticipate that such an axiomatization, potentially implemented in a proof</w:t>
      </w:r>
      <w:r>
        <w:t xml:space="preserve"> </w:t>
      </w:r>
      <w:r>
        <w:t xml:space="preserve">assistant such as Agda or Lean, would constitute a natural and</w:t>
      </w:r>
      <w:r>
        <w:t xml:space="preserve"> </w:t>
      </w:r>
      <w:r>
        <w:t xml:space="preserve">productive extension of this work.</w:t>
      </w:r>
      <w:r>
        <w:rPr>
          <w:vertAlign w:val="superscript"/>
        </w:rPr>
        <w:t xml:space="preserve">[18]</w:t>
      </w:r>
    </w:p>
    <w:bookmarkEnd w:id="51"/>
    <w:bookmarkEnd w:id="52"/>
    <w:bookmarkStart w:id="5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profiles,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that any well-formed selectivity measure should</w:t>
      </w:r>
      <w:r>
        <w:t xml:space="preserve"> </w:t>
      </w:r>
      <w:r>
        <w:t xml:space="preserve">satisfy.</w:t>
      </w:r>
      <w:r>
        <w:t xml:space="preserve"> </w:t>
      </w:r>
      <w:r>
        <w:t xml:space="preserve">No existing definition satisfies all four simultaneously.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sub-threshold binding as unreliable.</w:t>
      </w:r>
      <w:r>
        <w:t xml:space="preserve"> </w:t>
      </w:r>
      <w:r>
        <w:t xml:space="preserve">The longer-term implication is that the field requires a principled basis for</w:t>
      </w:r>
      <w:r>
        <w:t xml:space="preserve"> </w:t>
      </w:r>
      <w:r>
        <w:t xml:space="preserve">choosing among selectivity definitions, analogous to the axiomatic foundations</w:t>
      </w:r>
      <w:r>
        <w:t xml:space="preserve"> </w:t>
      </w:r>
      <w:r>
        <w:t xml:space="preserve">that have been established for entropy in information theory and for ranking</w:t>
      </w:r>
      <w:r>
        <w:t xml:space="preserve"> </w:t>
      </w:r>
      <w:r>
        <w:t xml:space="preserve">functions in social choice theory.</w:t>
      </w:r>
      <w:r>
        <w:t xml:space="preserve"> </w:t>
      </w:r>
      <w:r>
        <w:t xml:space="preserve">The desiderata proposed here are intended as the empirical foundation for that</w:t>
      </w:r>
      <w:r>
        <w:t xml:space="preserve"> </w:t>
      </w:r>
      <w:r>
        <w:t xml:space="preserve">formal program.</w:t>
      </w:r>
    </w:p>
    <w:bookmarkEnd w:id="53"/>
    <w:bookmarkStart w:id="5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desiderata proposed in the Desiderata section,</w:t>
      </w:r>
      <w:r>
        <w:t xml:space="preserve"> </w:t>
      </w:r>
      <w:r>
        <w:t xml:space="preserve">and the final manuscript content were developed, verified, and 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bookmarkEnd w:id="54"/>
    <w:bookmarkStart w:id="56" w:name="supporting-information"/>
    <w:p>
      <w:pPr>
        <w:pStyle w:val="Heading1"/>
      </w:pPr>
      <w:r>
        <w:t xml:space="preserve">Supporting Information</w:t>
      </w:r>
    </w:p>
    <w:p>
      <w:pPr>
        <w:pStyle w:val="FirstParagraph"/>
      </w:pPr>
      <w:r>
        <w:t xml:space="preserve">A preprint of this manuscript is available on ChemRxiv at</w:t>
      </w:r>
      <w:r>
        <w:t xml:space="preserve"> </w:t>
      </w:r>
      <w:hyperlink r:id="rId55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56"/>
    <w:bookmarkStart w:id="106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57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58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59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Start w:id="105" w:name="refs"/>
    <w:bookmarkStart w:id="61" w:name="ref-Roskoski202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Roskoski R</w:t>
      </w:r>
      <w:r>
        <w:t xml:space="preserve"> </w:t>
      </w:r>
      <w:hyperlink r:id="rId60">
        <w:r>
          <w:rPr>
            <w:rStyle w:val="Hyperlink"/>
          </w:rPr>
          <w:t xml:space="preserve">Properties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FDA</w:t>
        </w:r>
        <w:r>
          <w:rPr>
            <w:rStyle w:val="Hyperlink"/>
          </w:rPr>
          <w:t xml:space="preserve">-approved small molecule protein kinase inhibitors: A 2024 update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t xml:space="preserve">200:107059.</w:t>
      </w:r>
    </w:p>
    <w:bookmarkEnd w:id="61"/>
    <w:bookmarkStart w:id="63" w:name="ref-Manning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Manning G, Whyte DB, Martinez R, Hunter T, Sudarsanam S</w:t>
      </w:r>
      <w:r>
        <w:t xml:space="preserve"> </w:t>
      </w:r>
      <w:hyperlink r:id="rId62">
        <w:r>
          <w:rPr>
            <w:rStyle w:val="Hyperlink"/>
          </w:rPr>
          <w:t xml:space="preserve">The protein kinase complement of the human genome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298:1912–1934.</w:t>
      </w:r>
    </w:p>
    <w:bookmarkEnd w:id="63"/>
    <w:bookmarkStart w:id="65" w:name="ref-Bhullar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Bhullar KS, others</w:t>
      </w:r>
      <w:r>
        <w:t xml:space="preserve"> </w:t>
      </w:r>
      <w:hyperlink r:id="rId64">
        <w:r>
          <w:rPr>
            <w:rStyle w:val="Hyperlink"/>
          </w:rPr>
          <w:t xml:space="preserve">Kinase-targeted cancer therapies: Progress, challenges and future directions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t xml:space="preserve">17:48.</w:t>
      </w:r>
    </w:p>
    <w:bookmarkEnd w:id="65"/>
    <w:bookmarkStart w:id="67" w:name="ref-Karaman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Karaman MW, others</w:t>
      </w:r>
      <w:r>
        <w:t xml:space="preserve"> </w:t>
      </w:r>
      <w:hyperlink r:id="rId66">
        <w:r>
          <w:rPr>
            <w:rStyle w:val="Hyperlink"/>
          </w:rPr>
          <w:t xml:space="preserve">A quantitative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26:127–132.</w:t>
      </w:r>
    </w:p>
    <w:bookmarkEnd w:id="67"/>
    <w:bookmarkStart w:id="69" w:name="ref-Uitdehaag201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Uitdehaag JCM, Zaman GJR</w:t>
      </w:r>
      <w:r>
        <w:t xml:space="preserve"> </w:t>
      </w:r>
      <w:hyperlink r:id="rId68">
        <w:r>
          <w:rPr>
            <w:rStyle w:val="Hyperlink"/>
          </w:rPr>
          <w:t xml:space="preserve">A theoretical entropy score as a single value to express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12:94.</w:t>
      </w:r>
    </w:p>
    <w:bookmarkEnd w:id="69"/>
    <w:bookmarkStart w:id="71" w:name="ref-Graczyk201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Graczyk PP</w:t>
      </w:r>
      <w:r>
        <w:t xml:space="preserve"> </w:t>
      </w:r>
      <w:hyperlink r:id="rId70">
        <w:r>
          <w:rPr>
            <w:rStyle w:val="Hyperlink"/>
          </w:rPr>
          <w:t xml:space="preserve">Gini coefficient: A new way to express selectivity of kinase inhibitors against a family of kinases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t xml:space="preserve">50:5773–5779.</w:t>
      </w:r>
    </w:p>
    <w:bookmarkEnd w:id="71"/>
    <w:bookmarkStart w:id="72" w:name="ref-Klaeger201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Klaeger S, others</w:t>
      </w:r>
      <w:r>
        <w:t xml:space="preserve"> </w:t>
      </w:r>
      <w:hyperlink r:id="rId58">
        <w:r>
          <w:rPr>
            <w:rStyle w:val="Hyperlink"/>
          </w:rPr>
          <w:t xml:space="preserve">The target landscape of clinical kinase drugs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358:eaan4368.</w:t>
      </w:r>
    </w:p>
    <w:bookmarkEnd w:id="72"/>
    <w:bookmarkStart w:id="74" w:name="ref-Bosc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Bosc N, Meyer C, Bonnet P</w:t>
      </w:r>
      <w:r>
        <w:t xml:space="preserve"> </w:t>
      </w:r>
      <w:hyperlink r:id="rId73">
        <w:r>
          <w:rPr>
            <w:rStyle w:val="Hyperlink"/>
          </w:rPr>
          <w:t xml:space="preserve">The use of novel selectivity metrics in kinase research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18:17.</w:t>
      </w:r>
    </w:p>
    <w:bookmarkEnd w:id="74"/>
    <w:bookmarkStart w:id="76" w:name="ref-KInhibition201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Dranchak P, others</w:t>
      </w:r>
      <w:r>
        <w:t xml:space="preserve"> </w:t>
      </w:r>
      <w:hyperlink r:id="rId75">
        <w:r>
          <w:rPr>
            <w:rStyle w:val="Hyperlink"/>
          </w:rPr>
          <w:t xml:space="preserve">KInhibition</w:t>
        </w:r>
        <w:r>
          <w:rPr>
            <w:rStyle w:val="Hyperlink"/>
          </w:rPr>
          <w:t xml:space="preserve">: A kinase inhibitor selection portal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t xml:space="preserve">8:29–37.</w:t>
      </w:r>
    </w:p>
    <w:bookmarkEnd w:id="76"/>
    <w:bookmarkStart w:id="78" w:name="ref-Shannon1948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Shannon CE</w:t>
      </w:r>
      <w:r>
        <w:t xml:space="preserve"> </w:t>
      </w:r>
      <w:hyperlink r:id="rId77">
        <w:r>
          <w:rPr>
            <w:rStyle w:val="Hyperlink"/>
          </w:rPr>
          <w:t xml:space="preserve">A mathematical theory of communication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t xml:space="preserve">27:379–423.</w:t>
      </w:r>
    </w:p>
    <w:bookmarkEnd w:id="78"/>
    <w:bookmarkStart w:id="79" w:name="ref-Arrow195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Arrow KJ Social choice and individual values. Wiley, New York,.</w:t>
      </w:r>
    </w:p>
    <w:bookmarkEnd w:id="79"/>
    <w:bookmarkStart w:id="81" w:name="ref-Bajorath20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Miljkovic F, Bajorath J</w:t>
      </w:r>
      <w:r>
        <w:t xml:space="preserve"> </w:t>
      </w:r>
      <w:hyperlink r:id="rId80">
        <w:r>
          <w:rPr>
            <w:rStyle w:val="Hyperlink"/>
          </w:rPr>
          <w:t xml:space="preserve">Reconciling selectivity trends from a comprehensive kinase inhibitor profiling campaign with known activity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3:17196–17206.</w:t>
      </w:r>
    </w:p>
    <w:bookmarkEnd w:id="81"/>
    <w:bookmarkStart w:id="82" w:name="ref-Khinchin195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Khinchin AYa Mathematical foundations of information theory. Dover, New York,.</w:t>
      </w:r>
    </w:p>
    <w:bookmarkEnd w:id="82"/>
    <w:bookmarkStart w:id="84" w:name="ref-Pavillidis2022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Pavillidis P, others</w:t>
      </w:r>
      <w:r>
        <w:t xml:space="preserve"> </w:t>
      </w:r>
      <w:hyperlink r:id="rId83">
        <w:r>
          <w:rPr>
            <w:rStyle w:val="Hyperlink"/>
          </w:rPr>
          <w:t xml:space="preserve">Towards an axiomatic approach to truth discovery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t xml:space="preserve">36:43.</w:t>
      </w:r>
    </w:p>
    <w:bookmarkEnd w:id="84"/>
    <w:bookmarkStart w:id="86" w:name="ref-Cardelli200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Cardelli L</w:t>
      </w:r>
      <w:r>
        <w:t xml:space="preserve"> </w:t>
      </w:r>
      <w:hyperlink r:id="rId85">
        <w:r>
          <w:rPr>
            <w:rStyle w:val="Hyperlink"/>
          </w:rPr>
          <w:t xml:space="preserve">Brane calculi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Lect. Notes Comput. Sci.</w:t>
      </w:r>
      <w:r>
        <w:t xml:space="preserve"> </w:t>
      </w:r>
      <w:r>
        <w:t xml:space="preserve">3082:257–278.</w:t>
      </w:r>
    </w:p>
    <w:bookmarkEnd w:id="86"/>
    <w:bookmarkStart w:id="88" w:name="ref-Beaconcalculus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Jones B, others</w:t>
      </w:r>
      <w:r>
        <w:t xml:space="preserve"> </w:t>
      </w:r>
      <w:hyperlink r:id="rId87">
        <w:r>
          <w:rPr>
            <w:rStyle w:val="Hyperlink"/>
          </w:rPr>
          <w:t xml:space="preserve">The beacon calculus: A formal method for the coarse-grained modelling of biological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t xml:space="preserve">16:e1007646.</w:t>
      </w:r>
    </w:p>
    <w:bookmarkEnd w:id="88"/>
    <w:bookmarkStart w:id="90" w:name="ref-Kennedy1994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Kennedy AJ</w:t>
      </w:r>
      <w:r>
        <w:t xml:space="preserve"> </w:t>
      </w:r>
      <w:hyperlink r:id="rId89">
        <w:r>
          <w:rPr>
            <w:rStyle w:val="Hyperlink"/>
          </w:rPr>
          <w:t xml:space="preserve">Dimension types</w:t>
        </w:r>
      </w:hyperlink>
      <w:r>
        <w:t xml:space="preserve">. Springer,.</w:t>
      </w:r>
    </w:p>
    <w:bookmarkEnd w:id="90"/>
    <w:bookmarkStart w:id="92" w:name="ref-Lean4Mathlib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The Mathlib Community</w:t>
      </w:r>
      <w:r>
        <w:t xml:space="preserve"> </w:t>
      </w:r>
      <w:hyperlink r:id="rId91">
        <w:r>
          <w:rPr>
            <w:rStyle w:val="Hyperlink"/>
          </w:rPr>
          <w:t xml:space="preserve">Mathlib4</w:t>
        </w:r>
      </w:hyperlink>
      <w:r>
        <w:t xml:space="preserve">.</w:t>
      </w:r>
    </w:p>
    <w:bookmarkEnd w:id="92"/>
    <w:bookmarkStart w:id="94" w:name="ref-Davis201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Davis MI, others</w:t>
      </w:r>
      <w:r>
        <w:t xml:space="preserve"> </w:t>
      </w:r>
      <w:hyperlink r:id="rId93">
        <w:r>
          <w:rPr>
            <w:rStyle w:val="Hyperlink"/>
          </w:rPr>
          <w:t xml:space="preserve">Comprehensive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29:1046–1051.</w:t>
      </w:r>
    </w:p>
    <w:bookmarkEnd w:id="94"/>
    <w:bookmarkStart w:id="96" w:name="ref-DeepDTA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Öztürk H, Özgür A, Ozkirimli E</w:t>
      </w:r>
      <w:r>
        <w:t xml:space="preserve"> </w:t>
      </w:r>
      <w:hyperlink r:id="rId95">
        <w:r>
          <w:rPr>
            <w:rStyle w:val="Hyperlink"/>
          </w:rPr>
          <w:t xml:space="preserve">DeepDTA</w:t>
        </w:r>
        <w:r>
          <w:rPr>
            <w:rStyle w:val="Hyperlink"/>
          </w:rPr>
          <w:t xml:space="preserve">: Deep drug–target binding affinity prediction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34:i821–i829.</w:t>
      </w:r>
    </w:p>
    <w:bookmarkEnd w:id="96"/>
    <w:bookmarkStart w:id="98" w:name="ref-Num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Harris CR, others</w:t>
      </w:r>
      <w:r>
        <w:t xml:space="preserve"> </w:t>
      </w:r>
      <w:hyperlink r:id="rId97">
        <w:r>
          <w:rPr>
            <w:rStyle w:val="Hyperlink"/>
          </w:rPr>
          <w:t xml:space="preserve">Array programming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NumPy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585:357–362.</w:t>
      </w:r>
    </w:p>
    <w:bookmarkEnd w:id="98"/>
    <w:bookmarkStart w:id="100" w:name="ref-panda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McKinney W</w:t>
      </w:r>
      <w:r>
        <w:t xml:space="preserve"> </w:t>
      </w:r>
      <w:hyperlink r:id="rId99">
        <w:r>
          <w:rPr>
            <w:rStyle w:val="Hyperlink"/>
          </w:rPr>
          <w:t xml:space="preserve">Data structures for statistical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</w:p>
    <w:bookmarkEnd w:id="100"/>
    <w:bookmarkStart w:id="102" w:name="ref-SciP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Virtanen P, others</w:t>
      </w:r>
      <w:r>
        <w:t xml:space="preserve"> </w:t>
      </w:r>
      <w:hyperlink r:id="rId101">
        <w:r>
          <w:rPr>
            <w:rStyle w:val="Hyperlink"/>
          </w:rPr>
          <w:t xml:space="preserve">SciPy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1.0: Fundamental algorithms for scientific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t xml:space="preserve">17:261–272.</w:t>
      </w:r>
    </w:p>
    <w:bookmarkEnd w:id="102"/>
    <w:bookmarkStart w:id="104" w:name="ref-IUPAC2001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Vessman J, others</w:t>
      </w:r>
      <w:r>
        <w:t xml:space="preserve"> </w:t>
      </w:r>
      <w:hyperlink r:id="rId103">
        <w:r>
          <w:rPr>
            <w:rStyle w:val="Hyperlink"/>
          </w:rPr>
          <w:t xml:space="preserve">Selectivity in analytical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t xml:space="preserve">73:1381–1386.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hyperlink" Id="rId77" Target="https://doi.org/10.1002/j.1538-7305.1948.tb01338.x" TargetMode="External" /><Relationship Type="http://schemas.openxmlformats.org/officeDocument/2006/relationships/hyperlink" Id="rId89" Target="https://doi.org/10.1007/3-540-57880-3_23" TargetMode="External" /><Relationship Type="http://schemas.openxmlformats.org/officeDocument/2006/relationships/hyperlink" Id="rId85" Target="https://doi.org/10.1007/978-3-540-25927-5_20" TargetMode="External" /><Relationship Type="http://schemas.openxmlformats.org/officeDocument/2006/relationships/hyperlink" Id="rId83" Target="https://doi.org/10.1007/s10458-022-09569-3" TargetMode="External" /><Relationship Type="http://schemas.openxmlformats.org/officeDocument/2006/relationships/hyperlink" Id="rId75" Target="https://doi.org/10.1016/j.isci.2018.09.022" TargetMode="External" /><Relationship Type="http://schemas.openxmlformats.org/officeDocument/2006/relationships/hyperlink" Id="rId60" Target="https://doi.org/10.1016/j.phrs.2024.107059" TargetMode="External" /><Relationship Type="http://schemas.openxmlformats.org/officeDocument/2006/relationships/hyperlink" Id="rId80" Target="https://doi.org/10.1021/acsomega.8b00243" TargetMode="External" /><Relationship Type="http://schemas.openxmlformats.org/officeDocument/2006/relationships/hyperlink" Id="rId70" Target="https://doi.org/10.1021/jm070562u" TargetMode="External" /><Relationship Type="http://schemas.openxmlformats.org/officeDocument/2006/relationships/hyperlink" Id="rId93" Target="https://doi.org/10.1038/nbt.1990" TargetMode="External" /><Relationship Type="http://schemas.openxmlformats.org/officeDocument/2006/relationships/hyperlink" Id="rId66" Target="https://doi.org/10.1038/nbt1358" TargetMode="External" /><Relationship Type="http://schemas.openxmlformats.org/officeDocument/2006/relationships/hyperlink" Id="rId97" Target="https://doi.org/10.1038/s41586-020-2649-2" TargetMode="External" /><Relationship Type="http://schemas.openxmlformats.org/officeDocument/2006/relationships/hyperlink" Id="rId101" Target="https://doi.org/10.1038/s41592-019-0686-2" TargetMode="External" /><Relationship Type="http://schemas.openxmlformats.org/officeDocument/2006/relationships/hyperlink" Id="rId95" Target="https://doi.org/10.1093/bioinformatics/bty593" TargetMode="External" /><Relationship Type="http://schemas.openxmlformats.org/officeDocument/2006/relationships/hyperlink" Id="rId62" Target="https://doi.org/10.1126/science.1075762" TargetMode="External" /><Relationship Type="http://schemas.openxmlformats.org/officeDocument/2006/relationships/hyperlink" Id="rId58" Target="https://doi.org/10.1126/science.aan4368" TargetMode="External" /><Relationship Type="http://schemas.openxmlformats.org/officeDocument/2006/relationships/hyperlink" Id="rId68" Target="https://doi.org/10.1186/1471-2105-12-94" TargetMode="External" /><Relationship Type="http://schemas.openxmlformats.org/officeDocument/2006/relationships/hyperlink" Id="rId73" Target="https://doi.org/10.1186/s12859-016-1413-y" TargetMode="External" /><Relationship Type="http://schemas.openxmlformats.org/officeDocument/2006/relationships/hyperlink" Id="rId64" Target="https://doi.org/10.1186/s12943-018-0804-2" TargetMode="External" /><Relationship Type="http://schemas.openxmlformats.org/officeDocument/2006/relationships/hyperlink" Id="rId103" Target="https://doi.org/10.1351/pac200173081381" TargetMode="External" /><Relationship Type="http://schemas.openxmlformats.org/officeDocument/2006/relationships/hyperlink" Id="rId87" Target="https://doi.org/10.1371/journal.pcbi.1007646" TargetMode="External" /><Relationship Type="http://schemas.openxmlformats.org/officeDocument/2006/relationships/hyperlink" Id="rId99" Target="https://doi.org/10.25080/Majora-92bf1922-00a" TargetMode="External" /><Relationship Type="http://schemas.openxmlformats.org/officeDocument/2006/relationships/hyperlink" Id="rId55" Target="https://doi.org/10.26434/chemrxiv.15001618/v1" TargetMode="External" /><Relationship Type="http://schemas.openxmlformats.org/officeDocument/2006/relationships/hyperlink" Id="rId57" Target="https://github.com/dingyan20/Davis-Dataset-for-DTA-Prediction" TargetMode="External" /><Relationship Type="http://schemas.openxmlformats.org/officeDocument/2006/relationships/hyperlink" Id="rId91" Target="https://github.com/leanprover-community/mathlib4" TargetMode="External" /><Relationship Type="http://schemas.openxmlformats.org/officeDocument/2006/relationships/hyperlink" Id="rId59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1002/j.1538-7305.1948.tb01338.x" TargetMode="External" /><Relationship Type="http://schemas.openxmlformats.org/officeDocument/2006/relationships/hyperlink" Id="rId89" Target="https://doi.org/10.1007/3-540-57880-3_23" TargetMode="External" /><Relationship Type="http://schemas.openxmlformats.org/officeDocument/2006/relationships/hyperlink" Id="rId85" Target="https://doi.org/10.1007/978-3-540-25927-5_20" TargetMode="External" /><Relationship Type="http://schemas.openxmlformats.org/officeDocument/2006/relationships/hyperlink" Id="rId83" Target="https://doi.org/10.1007/s10458-022-09569-3" TargetMode="External" /><Relationship Type="http://schemas.openxmlformats.org/officeDocument/2006/relationships/hyperlink" Id="rId75" Target="https://doi.org/10.1016/j.isci.2018.09.022" TargetMode="External" /><Relationship Type="http://schemas.openxmlformats.org/officeDocument/2006/relationships/hyperlink" Id="rId60" Target="https://doi.org/10.1016/j.phrs.2024.107059" TargetMode="External" /><Relationship Type="http://schemas.openxmlformats.org/officeDocument/2006/relationships/hyperlink" Id="rId80" Target="https://doi.org/10.1021/acsomega.8b00243" TargetMode="External" /><Relationship Type="http://schemas.openxmlformats.org/officeDocument/2006/relationships/hyperlink" Id="rId70" Target="https://doi.org/10.1021/jm070562u" TargetMode="External" /><Relationship Type="http://schemas.openxmlformats.org/officeDocument/2006/relationships/hyperlink" Id="rId93" Target="https://doi.org/10.1038/nbt.1990" TargetMode="External" /><Relationship Type="http://schemas.openxmlformats.org/officeDocument/2006/relationships/hyperlink" Id="rId66" Target="https://doi.org/10.1038/nbt1358" TargetMode="External" /><Relationship Type="http://schemas.openxmlformats.org/officeDocument/2006/relationships/hyperlink" Id="rId97" Target="https://doi.org/10.1038/s41586-020-2649-2" TargetMode="External" /><Relationship Type="http://schemas.openxmlformats.org/officeDocument/2006/relationships/hyperlink" Id="rId101" Target="https://doi.org/10.1038/s41592-019-0686-2" TargetMode="External" /><Relationship Type="http://schemas.openxmlformats.org/officeDocument/2006/relationships/hyperlink" Id="rId95" Target="https://doi.org/10.1093/bioinformatics/bty593" TargetMode="External" /><Relationship Type="http://schemas.openxmlformats.org/officeDocument/2006/relationships/hyperlink" Id="rId62" Target="https://doi.org/10.1126/science.1075762" TargetMode="External" /><Relationship Type="http://schemas.openxmlformats.org/officeDocument/2006/relationships/hyperlink" Id="rId58" Target="https://doi.org/10.1126/science.aan4368" TargetMode="External" /><Relationship Type="http://schemas.openxmlformats.org/officeDocument/2006/relationships/hyperlink" Id="rId68" Target="https://doi.org/10.1186/1471-2105-12-94" TargetMode="External" /><Relationship Type="http://schemas.openxmlformats.org/officeDocument/2006/relationships/hyperlink" Id="rId73" Target="https://doi.org/10.1186/s12859-016-1413-y" TargetMode="External" /><Relationship Type="http://schemas.openxmlformats.org/officeDocument/2006/relationships/hyperlink" Id="rId64" Target="https://doi.org/10.1186/s12943-018-0804-2" TargetMode="External" /><Relationship Type="http://schemas.openxmlformats.org/officeDocument/2006/relationships/hyperlink" Id="rId103" Target="https://doi.org/10.1351/pac200173081381" TargetMode="External" /><Relationship Type="http://schemas.openxmlformats.org/officeDocument/2006/relationships/hyperlink" Id="rId87" Target="https://doi.org/10.1371/journal.pcbi.1007646" TargetMode="External" /><Relationship Type="http://schemas.openxmlformats.org/officeDocument/2006/relationships/hyperlink" Id="rId99" Target="https://doi.org/10.25080/Majora-92bf1922-00a" TargetMode="External" /><Relationship Type="http://schemas.openxmlformats.org/officeDocument/2006/relationships/hyperlink" Id="rId55" Target="https://doi.org/10.26434/chemrxiv.15001618/v1" TargetMode="External" /><Relationship Type="http://schemas.openxmlformats.org/officeDocument/2006/relationships/hyperlink" Id="rId57" Target="https://github.com/dingyan20/Davis-Dataset-for-DTA-Prediction" TargetMode="External" /><Relationship Type="http://schemas.openxmlformats.org/officeDocument/2006/relationships/hyperlink" Id="rId91" Target="https://github.com/leanprover-community/mathlib4" TargetMode="External" /><Relationship Type="http://schemas.openxmlformats.org/officeDocument/2006/relationships/hyperlink" Id="rId59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Towards a Formal Definition of Kinase Inhibitor Selectivity: Empirical Characterization of Definitional Instability and Proposed Desiderata</dc:title>
  <dc:creator>Polina Vinogradova</dc:creator>
  <cp:keywords/>
  <dcterms:created xsi:type="dcterms:W3CDTF">2026-04-17T13:27:11Z</dcterms:created>
  <dcterms:modified xsi:type="dcterms:W3CDTF">2026-04-17T13:27:11Z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— S-score, selectivity entropy, Gini coefficient, and ratio-based measures — applied interchangeably without justification. Across two profiling datasets (Davis, n=68; Klaeger, n=222), we show these definitions cluster into two families measuring fundamentally different properties (r = 0.27–0.48 between families) and that rank instability is predictable from binding profile shape. Three instability sources are identified: definitional noise below the detection threshold, ratio-specific instability from near-tied top targets, and distribution-ratio disagreement for promiscuous compounds with a dominant target. Ratio-based rankings are unreliable at any practically used panel size; entropy-based rankings stabilize at approximately 110 kinases. We derive four desiderata that any well-formed selectivity measure should satisfy; no existing definition satisfies all four simultaneously.</vt:lpwstr>
  </property>
  <property fmtid="{D5CDD505-2E9C-101B-9397-08002B2CF9AE}" pid="3" name="bibliography">
    <vt:lpwstr>references.bib</vt:lpwstr>
  </property>
  <property fmtid="{D5CDD505-2E9C-101B-9397-08002B2CF9AE}" pid="4" name="csl">
    <vt:lpwstr>/tmp/numeric-superscript.csl</vt:lpwstr>
  </property>
</Properties>
</file>