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53.png" ContentType="image/png"/>
  <Override PartName="/word/media/rId24.png" ContentType="image/png"/>
  <Override PartName="/word/media/rId2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Definitional Instability in Kinase Inhibitor Selectivity:</w:t>
      </w:r>
      <w:r>
        <w:t xml:space="preserve"> </w:t>
      </w:r>
      <w:r>
        <w:t xml:space="preserve">An Empirical Characterization Across Four Datasets and Required Properties</w:t>
      </w:r>
      <w:r>
        <w:t xml:space="preserve"> </w:t>
      </w:r>
      <w:r>
        <w:t xml:space="preserve">for a Well-Formed Measure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– S-score, selectivity entropy, Gini coefficient, and ratio-based measures,</w:t>
      </w:r>
      <w:r>
        <w:t xml:space="preserve"> </w:t>
      </w:r>
      <w:r>
        <w:t xml:space="preserve">which are applied interchangeably without justification.</w:t>
      </w:r>
      <w:r>
        <w:t xml:space="preserve"> </w:t>
      </w:r>
      <w:r>
        <w:t xml:space="preserve">Across four profiling datasets spanning three assay technologies (68-704</w:t>
      </w:r>
      <w:r>
        <w:t xml:space="preserve"> </w:t>
      </w:r>
      <w:r>
        <w:t xml:space="preserve">compounds each), we show these definitions cluster into two families measuring</w:t>
      </w:r>
      <w:r>
        <w:t xml:space="preserve"> </w:t>
      </w:r>
      <w:r>
        <w:t xml:space="preserve">different properties (cross-family r = 0.14-0.62),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We trace instability to three sources: definitional noise below the detection</w:t>
      </w:r>
      <w:r>
        <w:t xml:space="preserve"> </w:t>
      </w:r>
      <w:r>
        <w:t xml:space="preserve">threshold, near-tied top targets, and distribution-ratio disagreement for</w:t>
      </w:r>
      <w:r>
        <w:t xml:space="preserve"> </w:t>
      </w:r>
      <w:r>
        <w:t xml:space="preserve">promiscuous compounds with a dominant target.</w:t>
      </w:r>
      <w:r>
        <w:t xml:space="preserve"> </w:t>
      </w:r>
      <w:r>
        <w:t xml:space="preserve">We derive four properties that any well-formed selectivity measure should</w:t>
      </w:r>
      <w:r>
        <w:t xml:space="preserve"> </w:t>
      </w:r>
      <w:r>
        <w:t xml:space="preserve">satisfy, show that no existing definition satisfies all four, and propose a</w:t>
      </w:r>
      <w:r>
        <w:t xml:space="preserve"> </w:t>
      </w:r>
      <w:r>
        <w:t xml:space="preserve">measure that does and recovers its full-panel ranking from about half a panel.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t xml:space="preserve">(Roskoski 2024)</w:t>
      </w:r>
      <w:r>
        <w:t xml:space="preserve"> </w:t>
      </w:r>
      <w:r>
        <w:t xml:space="preserve">Because the human kinome is comprised of more than 500 proteins sharing a</w:t>
      </w:r>
      <w:r>
        <w:t xml:space="preserve"> </w:t>
      </w:r>
      <w:r>
        <w:t xml:space="preserve">highly conserved ATP-binding site,</w:t>
      </w:r>
      <w:r>
        <w:t xml:space="preserve">(Manning et al. 2002)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is a primary</w:t>
      </w:r>
      <w:r>
        <w:t xml:space="preserve"> </w:t>
      </w:r>
      <w:r>
        <w:t xml:space="preserve">criterion in lead optimization and a key determinant in the drug approval</w:t>
      </w:r>
      <w:r>
        <w:t xml:space="preserve"> </w:t>
      </w:r>
      <w:r>
        <w:t xml:space="preserve">process.</w:t>
      </w:r>
      <w:r>
        <w:t xml:space="preserve">(Bhullar et al. 2018)</w:t>
      </w:r>
    </w:p>
    <w:p>
      <w:pPr>
        <w:pStyle w:val="BodyText"/>
      </w:pPr>
      <w:r>
        <w:t xml:space="preserve">Despite its importance, no single consistent definition of selectivity exists.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t xml:space="preserve">(</w:t>
      </w:r>
      <w:r>
        <w:t xml:space="preserve">Karaman et al.</w:t>
      </w:r>
      <w:r>
        <w:t xml:space="preserve"> </w:t>
      </w:r>
      <w:r>
        <w:t xml:space="preserve">2008)</w:t>
      </w:r>
      <w:r>
        <w:t xml:space="preserve"> </w:t>
      </w:r>
      <w:r>
        <w:t xml:space="preserve">selectivity entropy,</w:t>
      </w:r>
      <w:r>
        <w:t xml:space="preserve">(Uitdehaag and Zaman 2011)</w:t>
      </w:r>
      <w:r>
        <w:t xml:space="preserve"> </w:t>
      </w:r>
      <w:r>
        <w:t xml:space="preserve">Gini coefficient,</w:t>
      </w:r>
      <w:r>
        <w:t xml:space="preserve">(Graczyk 2007)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(the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measures)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them is a prerequisite for integrating selectivity data across</w:t>
      </w:r>
      <w:r>
        <w:t xml:space="preserve"> </w:t>
      </w:r>
      <w:r>
        <w:t xml:space="preserve">laboratories and platforms.</w:t>
      </w:r>
    </w:p>
    <w:p>
      <w:pPr>
        <w:pStyle w:val="BodyText"/>
      </w:pPr>
      <w:r>
        <w:t xml:space="preserve">Bosc et al.</w:t>
      </w:r>
      <w:r>
        <w:t xml:space="preserve">(Bosc et al. 2017)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t xml:space="preserve">(Bello and Gujral 2018)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disagreement, such as</w:t>
      </w:r>
      <w:r>
        <w:t xml:space="preserve"> </w:t>
      </w:r>
      <w:r>
        <w:t xml:space="preserve">“which binding profile</w:t>
      </w:r>
      <w:r>
        <w:t xml:space="preserve"> </w:t>
      </w:r>
      <w:r>
        <w:t xml:space="preserve">properties determine when definitions agree or conflict, and why?”</w:t>
      </w:r>
      <w:r>
        <w:t xml:space="preserve">,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 The lack of consistency across</w:t>
      </w:r>
      <w:r>
        <w:t xml:space="preserve"> </w:t>
      </w:r>
      <w:r>
        <w:t xml:space="preserve">applications of selectivity definitions for different compounds makes</w:t>
      </w:r>
      <w:r>
        <w:t xml:space="preserve"> </w:t>
      </w:r>
      <w:r>
        <w:t xml:space="preserve">comparison very challenging.</w:t>
      </w:r>
    </w:p>
    <w:p>
      <w:pPr>
        <w:pStyle w:val="BodyText"/>
      </w:pPr>
      <w:r>
        <w:t xml:space="preserve">Our analyses suggest that existing selectivity definitions are, in some cases,</w:t>
      </w:r>
      <w:r>
        <w:t xml:space="preserve"> </w:t>
      </w:r>
      <w:r>
        <w:t xml:space="preserve">measuring entirely different qualities of binding profiles, and therefore</w:t>
      </w:r>
      <w:r>
        <w:t xml:space="preserve"> </w:t>
      </w:r>
      <w:r>
        <w:t xml:space="preserve">cannot be easily converted from one to another.</w:t>
      </w:r>
      <w:r>
        <w:t xml:space="preserve"> </w:t>
      </w:r>
      <w:r>
        <w:t xml:space="preserve">In information theory, Shannon</w:t>
      </w:r>
      <w:r>
        <w:t xml:space="preserve">(Shannon 1948)</w:t>
      </w:r>
      <w:r>
        <w:t xml:space="preserve"> </w:t>
      </w:r>
      <w:r>
        <w:t xml:space="preserve">settled which function should</w:t>
      </w:r>
      <w:r>
        <w:t xml:space="preserve"> </w:t>
      </w:r>
      <w:r>
        <w:t xml:space="preserve">measure uncertainty by writing down a few properties a sensible measure must</w:t>
      </w:r>
      <w:r>
        <w:t xml:space="preserve"> </w:t>
      </w:r>
      <w:r>
        <w:t xml:space="preserve">have (e.g, that it should be maximal when all outcomes are equally</w:t>
      </w:r>
      <w:r>
        <w:t xml:space="preserve"> </w:t>
      </w:r>
      <w:r>
        <w:t xml:space="preserve">likely) and showing that only entropy satisfies them. In this work,</w:t>
      </w:r>
      <w:r>
        <w:t xml:space="preserve"> </w:t>
      </w:r>
      <w:r>
        <w:t xml:space="preserve">we follow the first step of this precedent: we characterize how the</w:t>
      </w:r>
      <w:r>
        <w:t xml:space="preserve"> </w:t>
      </w:r>
      <w:r>
        <w:t xml:space="preserve">competing measures actually behave, then state the properties a good measure</w:t>
      </w:r>
      <w:r>
        <w:t xml:space="preserve"> </w:t>
      </w:r>
      <w:r>
        <w:t xml:space="preserve">should have.</w:t>
      </w:r>
    </w:p>
    <w:p>
      <w:pPr>
        <w:pStyle w:val="BodyText"/>
      </w:pPr>
      <w:r>
        <w:t xml:space="preserve">We use four large profiling datasets for kinase inhibitor selectivity</w:t>
      </w:r>
      <w:r>
        <w:t xml:space="preserve"> </w:t>
      </w:r>
      <w:r>
        <w:t xml:space="preserve">that span three assay technologies in our characterization.</w:t>
      </w:r>
      <w:r>
        <w:t xml:space="preserve"> </w:t>
      </w:r>
      <w:r>
        <w:t xml:space="preserve">In service of the overarching goal of developing a principled, standardized</w:t>
      </w:r>
      <w:r>
        <w:t xml:space="preserve"> </w:t>
      </w:r>
      <w:r>
        <w:t xml:space="preserve">formula for defining selectivity, our contributions are as follows:</w:t>
      </w:r>
    </w:p>
    <w:p>
      <w:pPr>
        <w:numPr>
          <w:ilvl w:val="0"/>
          <w:numId w:val="1001"/>
        </w:numPr>
      </w:pPr>
      <w:r>
        <w:t xml:space="preserve">we show that existing definitions cluster into two families: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variants), which correlate weakly with one another across all four datasets</w:t>
      </w:r>
      <w:r>
        <w:t xml:space="preserve"> </w:t>
      </w:r>
      <w:r>
        <w:t xml:space="preserve">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) and measure distinct</w:t>
      </w:r>
      <w:r>
        <w:t xml:space="preserve"> </w:t>
      </w:r>
      <w:r>
        <w:t xml:space="preserve">properties of binding profiles;</w:t>
      </w:r>
    </w:p>
    <w:p>
      <w:pPr>
        <w:numPr>
          <w:ilvl w:val="0"/>
          <w:numId w:val="1001"/>
        </w:numPr>
      </w:pPr>
      <w:r>
        <w:t xml:space="preserve">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activity;</w:t>
      </w:r>
    </w:p>
    <w:p>
      <w:pPr>
        <w:numPr>
          <w:ilvl w:val="0"/>
          <w:numId w:val="1001"/>
        </w:numPr>
      </w:pPr>
      <w:r>
        <w:t xml:space="preserve">we propose four required properties: (D1) a reliability threshold condition,</w:t>
      </w:r>
      <w:r>
        <w:t xml:space="preserve"> </w:t>
      </w:r>
      <w:r>
        <w:t xml:space="preserve">(D2) bounded gap sensitivity, (D3) distributional consistency, (D4) and monotonicity under</w:t>
      </w:r>
      <w:r>
        <w:t xml:space="preserve"> </w:t>
      </w:r>
      <w:r>
        <w:t xml:space="preserve">weak off-target addition. We then show that no existing definition satisfies</w:t>
      </w:r>
      <w:r>
        <w:t xml:space="preserve"> </w:t>
      </w:r>
      <w:r>
        <w:t xml:space="preserve">all four simultaneously;</w:t>
      </w:r>
    </w:p>
    <w:p>
      <w:pPr>
        <w:numPr>
          <w:ilvl w:val="0"/>
          <w:numId w:val="1001"/>
        </w:numPr>
      </w:pPr>
      <w:r>
        <w:t xml:space="preserve">we propose a candidate measure: a gated, smooth-baseline</w:t>
      </w:r>
      <w:r>
        <w:t xml:space="preserve"> </w:t>
      </w:r>
      <w:r>
        <w:t xml:space="preserve">effective-target-number that satisfies all four properties and recovers its</w:t>
      </w:r>
      <w:r>
        <w:t xml:space="preserve"> </w:t>
      </w:r>
      <w:r>
        <w:t xml:space="preserve">full-panel ranking from roughly half a typical panel.</w:t>
      </w:r>
    </w:p>
    <w:bookmarkEnd w:id="9"/>
    <w:bookmarkStart w:id="12" w:name="sec:related"/>
    <w:p>
      <w:pPr>
        <w:pStyle w:val="Heading1"/>
      </w:pPr>
      <w:r>
        <w:t xml:space="preserve">Related Work</w:t>
      </w:r>
    </w:p>
    <w:bookmarkStart w:id="10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t xml:space="preserve">(</w:t>
      </w:r>
      <w:r>
        <w:t xml:space="preserve">Karaman et al.</w:t>
      </w:r>
      <w:r>
        <w:t xml:space="preserve"> </w:t>
      </w:r>
      <w:r>
        <w:t xml:space="preserve">2008)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t xml:space="preserve">(Uitdehaag and Zaman 2011)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entropy.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t xml:space="preserve">(Graczyk 2007)</w:t>
      </w:r>
      <w:r>
        <w:t xml:space="preserve"> </w:t>
      </w:r>
      <w:r>
        <w:t xml:space="preserve">adapted the Gini coefficient from economics, treating</w:t>
      </w:r>
      <w:r>
        <w:t xml:space="preserve"> </w:t>
      </w:r>
      <w:r>
        <w:t xml:space="preserve">the distribution of a compound’s activity across the panel as an inequality</w:t>
      </w:r>
      <w:r>
        <w:t xml:space="preserve"> </w:t>
      </w:r>
      <w:r>
        <w:t xml:space="preserve">distribution. A value near 1 indicates activity concentrated on few kinases and</w:t>
      </w:r>
      <w:r>
        <w:t xml:space="preserve"> </w:t>
      </w:r>
      <w:r>
        <w:t xml:space="preserve">near 0 indicates activity spread evenly.</w:t>
      </w:r>
      <w:r>
        <w:t xml:space="preserve"> </w:t>
      </w:r>
      <w:r>
        <w:t xml:space="preserve">Klaeger et al.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t xml:space="preserve">(Bosc et al. 2017)</w:t>
      </w:r>
      <w:r>
        <w:t xml:space="preserve"> </w:t>
      </w:r>
      <w:r>
        <w:t xml:space="preserve">subsequently proposed two further metrics:</w:t>
      </w:r>
      <w:r>
        <w:t xml:space="preserve"> </w:t>
      </w:r>
      <w:r>
        <w:t xml:space="preserve">the window score and ranking score. They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 For example, ratio-based scores are undefined</w:t>
      </w:r>
      <w:r>
        <w:t xml:space="preserve"> </w:t>
      </w:r>
      <w:r>
        <w:t xml:space="preserve">for a compound with no kinase above the activity threshold, since there is then</w:t>
      </w:r>
      <w:r>
        <w:t xml:space="preserve"> </w:t>
      </w:r>
      <w:r>
        <w:t xml:space="preserve">no primary target or off-target to compare.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t xml:space="preserve">(Miljkovic and Bajorath 2018)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compounds. They found broad consistency between the two sources but noted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t xml:space="preserve">(Bello and Gujral 2018)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values, so the sensitivity of rankings to parameter choice has not</w:t>
      </w:r>
      <w:r>
        <w:t xml:space="preserve"> </w:t>
      </w:r>
      <w:r>
        <w:t xml:space="preserve">been systematically 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0"/>
    <w:bookmarkStart w:id="11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t xml:space="preserve">(Shannon 1948)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t xml:space="preserve">(Khinchin 1957)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justification.</w:t>
      </w:r>
      <w:r>
        <w:t xml:space="preserve"> </w:t>
      </w:r>
      <w:r>
        <w:t xml:space="preserve">The axioms that single out Shannon entropy, such as maximality on the uniform</w:t>
      </w:r>
      <w:r>
        <w:t xml:space="preserve"> </w:t>
      </w:r>
      <w:r>
        <w:t xml:space="preserve">distribution and additivity over independent subsystems, characterize a measure</w:t>
      </w:r>
      <w:r>
        <w:t xml:space="preserve"> </w:t>
      </w:r>
      <w:r>
        <w:t xml:space="preserve">of uncertainty rather than a measure of selectivity.</w:t>
      </w:r>
      <w:r>
        <w:t xml:space="preserve"> </w:t>
      </w:r>
      <w:r>
        <w:t xml:space="preserve">It is therefore not known whether the selectivity entropy is the unique function</w:t>
      </w:r>
      <w:r>
        <w:t xml:space="preserve"> </w:t>
      </w:r>
      <w:r>
        <w:t xml:space="preserve">satisfying reasonable selectivity-specific properties, or one of many equivalent</w:t>
      </w:r>
      <w:r>
        <w:t xml:space="preserve"> </w:t>
      </w:r>
      <w:r>
        <w:t xml:space="preserve">alternatives.</w:t>
      </w:r>
    </w:p>
    <w:p>
      <w:pPr>
        <w:pStyle w:val="BodyText"/>
      </w:pPr>
      <w:r>
        <w:t xml:space="preserve">Arrow</w:t>
      </w:r>
      <w:r>
        <w:t xml:space="preserve">(Arrow 1951)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Singleton and Booth</w:t>
      </w:r>
      <w:r>
        <w:t xml:space="preserve">(Singleton and Booth 2022)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discovery, i.e. the problem of identifying true facts from conflicting reports of</w:t>
      </w:r>
      <w:r>
        <w:t xml:space="preserve"> </w:t>
      </w:r>
      <w:r>
        <w:t xml:space="preserve">unknown reliability,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To our knowledge, this axiomatic style of analysis has not previously been</w:t>
      </w:r>
      <w:r>
        <w:t xml:space="preserve"> </w:t>
      </w:r>
      <w:r>
        <w:t xml:space="preserve">applied to any selectivity or promiscuity measure in drug discovery.</w:t>
      </w:r>
      <w:r>
        <w:t xml:space="preserve"> </w:t>
      </w:r>
      <w:r>
        <w:t xml:space="preserve">The present work proposes empirically motivated required properties as a</w:t>
      </w:r>
      <w:r>
        <w:t xml:space="preserve"> </w:t>
      </w:r>
      <w:r>
        <w:t xml:space="preserve">foundation for such an analysis.</w:t>
      </w:r>
    </w:p>
    <w:bookmarkEnd w:id="11"/>
    <w:bookmarkEnd w:id="12"/>
    <w:bookmarkStart w:id="21" w:name="sec:methods"/>
    <w:p>
      <w:pPr>
        <w:pStyle w:val="Heading1"/>
      </w:pPr>
      <w:r>
        <w:t xml:space="preserve">Methods</w:t>
      </w:r>
    </w:p>
    <w:bookmarkStart w:id="13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t xml:space="preserve">(</w:t>
      </w:r>
      <w:r>
        <w:t xml:space="preserve">Davis et al.</w:t>
      </w:r>
      <w:r>
        <w:t xml:space="preserve"> </w:t>
      </w:r>
      <w:r>
        <w:t xml:space="preserve">2011)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t xml:space="preserve">(Öztürk et al. 2018)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entries).</w:t>
      </w:r>
      <w:r>
        <w:t xml:space="preserve"> </w:t>
      </w:r>
      <w:r>
        <w:t xml:space="preserve">with all non-binding pairs assigned the detection-floor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(corresponding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 1 mM).</w:t>
      </w:r>
      <w:r>
        <w:t xml:space="preserve"> </w:t>
      </w:r>
      <w:r>
        <w:t xml:space="preserve">This is the standard convention for the dataset</w:t>
      </w:r>
      <w:r>
        <w:t xml:space="preserve">(Öztürk et al. 2018; Bosc et al. 2017)</w:t>
      </w:r>
      <w:r>
        <w:t xml:space="preserve"> </w:t>
      </w:r>
      <w:r>
        <w:t xml:space="preserve">and</w:t>
      </w:r>
      <w:r>
        <w:t xml:space="preserve"> </w:t>
      </w:r>
      <w:r>
        <w:t xml:space="preserve">slightly underestimates true non-binding affinity.</w:t>
      </w:r>
    </w:p>
    <w:p>
      <w:pPr>
        <w:pStyle w:val="BodyText"/>
      </w:pPr>
      <w:r>
        <w:t xml:space="preserve">The Klaeger dataset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Klaeger matrix is</w:t>
      </w:r>
      <w:r>
        <w:t xml:space="preserve"> 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.</w:t>
      </w:r>
      <w:r>
        <w:t xml:space="preserve"> </w:t>
      </w:r>
      <w:r>
        <w:t xml:space="preserve">The fraction of active entries 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is 17.9% for</w:t>
      </w:r>
      <w:r>
        <w:t xml:space="preserve"> </w:t>
      </w:r>
      <w:r>
        <w:t xml:space="preserve">Davis and 3.6% for Klaeger, and are recorded at the background value</w:t>
      </w:r>
      <w:r>
        <w:t xml:space="preserve"> </w:t>
      </w:r>
      <w:r>
        <w:t xml:space="preserve">whenever weak interactions fall below the limit of detection.</w:t>
      </w:r>
      <w:r>
        <w:t xml:space="preserve"> </w:t>
      </w:r>
      <w:r>
        <w:t xml:space="preserve">These reflect the more stringent detection threshold</w:t>
      </w:r>
      <w:r>
        <w:t xml:space="preserve"> </w:t>
      </w:r>
      <w:r>
        <w:t xml:space="preserve">of the chemoproteomic assay.</w:t>
      </w:r>
    </w:p>
    <w:p>
      <w:pPr>
        <w:pStyle w:val="BodyText"/>
      </w:pPr>
      <w:r>
        <w:t xml:space="preserve">To test whether our findings depend on the assay technology, we added two</w:t>
      </w:r>
      <w:r>
        <w:t xml:space="preserve"> </w:t>
      </w:r>
      <w:r>
        <w:t xml:space="preserve">further datasets that measure kinase inhibition by different means.</w:t>
      </w:r>
      <w:r>
        <w:t xml:space="preserve"> </w:t>
      </w:r>
      <w:r>
        <w:t xml:space="preserve">The Anastassiadis dataset</w:t>
      </w:r>
      <w:r>
        <w:t xml:space="preserve">(Anastassiadis et al. 2011)</w:t>
      </w:r>
      <w:r>
        <w:t xml:space="preserve"> </w:t>
      </w:r>
      <w:r>
        <w:t xml:space="preserve">profiles 178 inhibitors</w:t>
      </w:r>
      <w:r>
        <w:t xml:space="preserve"> </w:t>
      </w:r>
      <w:r>
        <w:t xml:space="preserve">against 300 kinases in a single-concentration (</w:t>
      </w:r>
      <m:oMath>
        <m:r>
          <m:t>0.5</m:t>
        </m:r>
        <m:r>
          <m:t> </m:t>
        </m:r>
        <m:r>
          <m:t>μ</m:t>
        </m:r>
      </m:oMath>
      <w:r>
        <w:t xml:space="preserve">M) radiometric activity</w:t>
      </w:r>
      <w:r>
        <w:t xml:space="preserve"> </w:t>
      </w:r>
      <w:r>
        <w:t xml:space="preserve">assay, reported as percent residual kinase activity relative to a solvent</w:t>
      </w:r>
      <w:r>
        <w:t xml:space="preserve"> </w:t>
      </w:r>
      <w:r>
        <w:t xml:space="preserve">control.</w:t>
      </w:r>
      <w:r>
        <w:t xml:space="preserve"> </w:t>
      </w:r>
      <w:r>
        <w:t xml:space="preserve">We converted these to percent inhibition (</w:t>
      </w:r>
      <m:oMath>
        <m:r>
          <m:t>100</m:t>
        </m:r>
      </m:oMath>
      <w:r>
        <w:t xml:space="preserve"> </w:t>
      </w:r>
      <w:r>
        <w:t xml:space="preserve">minus residual activity,</w:t>
      </w:r>
      <w:r>
        <w:t xml:space="preserve"> </w:t>
      </w:r>
      <w:r>
        <w:t xml:space="preserve">clipped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]</m:t>
        </m:r>
      </m:oMath>
      <w:r>
        <w:t xml:space="preserve">, where higher values denote stronger inhibition), with the</w:t>
      </w:r>
      <w:r>
        <w:t xml:space="preserve"> </w:t>
      </w:r>
      <m:oMath>
        <m:r>
          <m:t>1.1</m:t>
        </m:r>
        <m:r>
          <m:rPr>
            <m:sty m:val="p"/>
          </m:rPr>
          <m:t>%</m:t>
        </m:r>
      </m:oMath>
      <w:r>
        <w:t xml:space="preserve"> </w:t>
      </w:r>
      <w:r>
        <w:t xml:space="preserve">missing entries set to zero inhibition.</w:t>
      </w:r>
      <w:r>
        <w:t xml:space="preserve"> </w:t>
      </w:r>
      <w:r>
        <w:t xml:space="preserve">The Metz dataset</w:t>
      </w:r>
      <w:r>
        <w:t xml:space="preserve">(Metz et al. 2011)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affinities for a large</w:t>
      </w:r>
      <w:r>
        <w:t xml:space="preserve"> </w:t>
      </w:r>
      <w:r>
        <w:t xml:space="preserve">medicinal-chemistry</w:t>
      </w:r>
      <w:r>
        <w:t xml:space="preserve"> </w:t>
      </w:r>
      <w:r>
        <w:t xml:space="preserve">campaign using the same negative-log scale as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. We restricted</w:t>
      </w:r>
      <w:r>
        <w:t xml:space="preserve"> </w:t>
      </w:r>
      <w:r>
        <w:t xml:space="preserve">it to the 704 compounds profiled against at least 50 of</w:t>
      </w:r>
      <w:r>
        <w:t xml:space="preserve"> </w:t>
      </w:r>
      <w:r>
        <w:t xml:space="preserve">the 172 kinases, assigning the assay floor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 </w:t>
      </w:r>
      <w:r>
        <w:t xml:space="preserve">to unmeasured</w:t>
      </w:r>
      <w:r>
        <w:t xml:space="preserve"> </w:t>
      </w:r>
      <w:r>
        <w:t xml:space="preserve">combinations.</w:t>
      </w:r>
      <w:r>
        <w:t xml:space="preserve"> </w:t>
      </w:r>
      <w:r>
        <w:t xml:space="preserve">The four datasets thus span three assay technologies (competition binding,</w:t>
      </w:r>
      <w:r>
        <w:t xml:space="preserve"> </w:t>
      </w:r>
      <w:r>
        <w:t xml:space="preserve">chemoproteomics, and functional activity) and two readout types (affinity and</w:t>
      </w:r>
      <w:r>
        <w:t xml:space="preserve"> </w:t>
      </w:r>
      <w:r>
        <w:t xml:space="preserve">single-concentration inhibition).</w:t>
      </w:r>
      <w:r>
        <w:t xml:space="preserve"> </w:t>
      </w:r>
      <w:r>
        <w:t xml:space="preserve">Each selectivity definition is computed on the native readout of its</w:t>
      </w:r>
      <w:r>
        <w:t xml:space="preserve"> </w:t>
      </w:r>
      <w:r>
        <w:t xml:space="preserve">dataset and our analyses concern rank correlations between definitions and rank</w:t>
      </w:r>
      <w:r>
        <w:t xml:space="preserve"> </w:t>
      </w:r>
      <w:r>
        <w:t xml:space="preserve">instability, which are both invariant to a common monotone rescaling within a dataset.</w:t>
      </w:r>
      <w:r>
        <w:t xml:space="preserve"> </w:t>
      </w:r>
      <w:r>
        <w:t xml:space="preserve">For this reason, the definitions remain directly comparable across datasets.</w:t>
      </w:r>
      <w:r>
        <w:t xml:space="preserve"> </w:t>
      </w:r>
      <w:r>
        <w:t xml:space="preserve">For the percent-inhibition and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datasets, the S-score threshold and</w:t>
      </w:r>
      <w:r>
        <w:t xml:space="preserve"> </w:t>
      </w:r>
      <w:r>
        <w:t xml:space="preserve">entropy/Gini baseline grids were shifted to span each dataset’s active range,</w:t>
      </w:r>
      <w:r>
        <w:t xml:space="preserve"> </w:t>
      </w:r>
      <w:r>
        <w:t xml:space="preserve">while the ratio off-target index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was left unchanged</w:t>
      </w:r>
      <w:r>
        <w:t xml:space="preserve"> </w:t>
      </w:r>
      <w:r>
        <w:t xml:space="preserve">(it indexes ranked off-targets and so needs no rescaling).</w:t>
      </w:r>
    </w:p>
    <w:p>
      <w:pPr>
        <w:pStyle w:val="BodyText"/>
      </w:pPr>
      <w:r>
        <w:t xml:space="preserve">We excluded two additional candidate datasets.</w:t>
      </w:r>
      <w:r>
        <w:t xml:space="preserve"> </w:t>
      </w:r>
      <w:r>
        <w:t xml:space="preserve">The Gao screen</w:t>
      </w:r>
      <w:r>
        <w:t xml:space="preserve">(Gao et al. 2013)</w:t>
      </w:r>
      <w:r>
        <w:t xml:space="preserve"> </w:t>
      </w:r>
      <w:r>
        <w:t xml:space="preserve">is a single-concentration functional inhibition</w:t>
      </w:r>
      <w:r>
        <w:t xml:space="preserve"> </w:t>
      </w:r>
      <w:r>
        <w:t xml:space="preserve">assay of the same readout type as the Anastassiadis dataset already included,</w:t>
      </w:r>
      <w:r>
        <w:t xml:space="preserve"> </w:t>
      </w:r>
      <w:r>
        <w:t xml:space="preserve">and its raw data are not openly redistributable. Including it would add a</w:t>
      </w:r>
      <w:r>
        <w:t xml:space="preserve"> </w:t>
      </w:r>
      <w:r>
        <w:t xml:space="preserve">second instance of an assay type rather than a new modality.</w:t>
      </w:r>
      <w:r>
        <w:t xml:space="preserve"> </w:t>
      </w:r>
      <w:r>
        <w:t xml:space="preserve">The Patricelli study</w:t>
      </w:r>
      <w:r>
        <w:t xml:space="preserve">(Patricelli et al. 2011)</w:t>
      </w:r>
      <w:r>
        <w:t xml:space="preserve"> </w:t>
      </w:r>
      <w:r>
        <w:t xml:space="preserve">profiles only a small number of</w:t>
      </w:r>
      <w:r>
        <w:t xml:space="preserve"> </w:t>
      </w:r>
      <w:r>
        <w:t xml:space="preserve">inhibitors against native kinases as a proof of concept for the KiNativ</w:t>
      </w:r>
      <w:r>
        <w:t xml:space="preserve"> </w:t>
      </w:r>
      <w:r>
        <w:t xml:space="preserve">platform. A ranking-stability analysis requires many compounds to produce a</w:t>
      </w:r>
      <w:r>
        <w:t xml:space="preserve"> </w:t>
      </w:r>
      <w:r>
        <w:t xml:space="preserve">meaningful ranking, so this dataset is not suited to the present comparison.</w:t>
      </w:r>
    </w:p>
    <w:bookmarkEnd w:id="13"/>
    <w:bookmarkStart w:id="19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We implemented four selectivity definitions, each including</w:t>
      </w:r>
      <w:r>
        <w:t xml:space="preserve"> </w:t>
      </w:r>
      <w:r>
        <w:t xml:space="preserve">parameters whose values are not standardized in the literature.</w:t>
      </w:r>
      <w:r>
        <w:t xml:space="preserve"> </w:t>
      </w:r>
      <w:r>
        <w:t xml:space="preserve">We discuss each definition below.</w:t>
      </w:r>
      <w:r>
        <w:t xml:space="preserve"> </w:t>
      </w:r>
      <w:r>
        <w:t xml:space="preserve">Throughout, a compound’s binding profile is the vector of its affinities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across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panel kinases, with higher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denoting tighter binding.</w:t>
      </w:r>
    </w:p>
    <w:bookmarkStart w:id="14" w:name="s-score."/>
    <w:p>
      <w:pPr>
        <w:pStyle w:val="Heading4"/>
      </w:pPr>
      <w:r>
        <w:t xml:space="preserve">S-score.</w:t>
      </w:r>
    </w:p>
    <w:p>
      <w:pPr>
        <w:pStyle w:val="FirstParagraph"/>
      </w:pPr>
      <w:r>
        <w:t xml:space="preserve">Karaman et al.</w:t>
      </w:r>
      <w:r>
        <w:t xml:space="preserve">(</w:t>
      </w:r>
      <w:r>
        <w:t xml:space="preserve">Karaman et al.</w:t>
      </w:r>
      <w:r>
        <w:t xml:space="preserve"> </w:t>
      </w:r>
      <w:r>
        <w:t xml:space="preserve">2008)</w:t>
      </w:r>
      <w:r>
        <w:t xml:space="preserve"> </w:t>
      </w:r>
      <w:r>
        <w:t xml:space="preserve">defined the selectivity score as the fraction</w:t>
      </w:r>
      <w:r>
        <w:t xml:space="preserve"> </w:t>
      </w:r>
      <w:r>
        <w:t xml:space="preserve">of the panel that a compound inhibits: the number of kinases</w:t>
      </w:r>
      <w:r>
        <w:t xml:space="preserve"> </w:t>
      </w:r>
      <w:r>
        <w:t xml:space="preserve">“bound”</w:t>
      </w:r>
      <w:r>
        <w:t xml:space="preserve"> </w:t>
      </w:r>
      <w:r>
        <w:t xml:space="preserve">divided</w:t>
      </w:r>
      <w:r>
        <w:t xml:space="preserve"> </w:t>
      </w:r>
      <w:r>
        <w:t xml:space="preserve">by the number tested, where a kinase counts as bound when the compound reduces</w:t>
      </w:r>
      <w:r>
        <w:t xml:space="preserve"> </w:t>
      </w:r>
      <w:r>
        <w:t xml:space="preserve">its activity below a fixed cutoff at a single screening concentration (the</w:t>
      </w:r>
      <w:r>
        <w:t xml:space="preserve"> </w:t>
      </w:r>
      <w:r>
        <w:t xml:space="preserve">original work reports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cutoffs of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of control activity).</w:t>
      </w:r>
      <w:r>
        <w:t xml:space="preserve"> </w:t>
      </w:r>
      <w:r>
        <w:t xml:space="preserve">We implemented the same fraction, expressing the bound criterion as an affinity</w:t>
      </w:r>
      <w:r>
        <w:t xml:space="preserve"> </w:t>
      </w:r>
      <w:r>
        <w:t xml:space="preserve">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Karaman et al. defined the cutoff on percent of control activity (</w:t>
      </w:r>
      <m:oMath>
        <m:r>
          <m:t>35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). Because we work on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scale, the equivalent</w:t>
      </w:r>
      <w:r>
        <w:t xml:space="preserve"> </w:t>
      </w:r>
      <w:r>
        <w:t xml:space="preserve">“bound”</w:t>
      </w:r>
      <w:r>
        <w:t xml:space="preserve"> </w:t>
      </w:r>
      <w:r>
        <w:t xml:space="preserve">criterion is an affinity threshold</w:t>
      </w:r>
      <w:r>
        <w:t xml:space="preserve"> </w:t>
      </w:r>
      <m:oMath>
        <m:r>
          <m:t>τ</m:t>
        </m:r>
      </m:oMath>
      <w:r>
        <w:t xml:space="preserve">, and sweeping it reproduces</w:t>
      </w:r>
      <w:r>
        <w:t xml:space="preserve"> </w:t>
      </w:r>
      <w:r>
        <w:t xml:space="preserve">their family of cutoffs. We used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</w:t>
      </w:r>
      <w:r>
        <w:t xml:space="preserve"> </w:t>
      </w:r>
      <w:r>
        <w:t xml:space="preserve">approximately 300 nM to 10 nM.</w:t>
      </w:r>
    </w:p>
    <w:bookmarkEnd w:id="14"/>
    <w:bookmarkStart w:id="15" w:name="selectivity-entropy."/>
    <w:p>
      <w:pPr>
        <w:pStyle w:val="Heading4"/>
      </w:pPr>
      <w:r>
        <w:t xml:space="preserve">Selectivity entropy.</w:t>
      </w:r>
    </w:p>
    <w:p>
      <w:pPr>
        <w:pStyle w:val="FirstParagraph"/>
      </w:pPr>
      <w:r>
        <w:t xml:space="preserve">Uitdehaag and Zaman</w:t>
      </w:r>
      <w:r>
        <w:t xml:space="preserve">(Uitdehaag and Zaman 2011)</w:t>
      </w:r>
      <w:r>
        <w:t xml:space="preserve"> </w:t>
      </w:r>
      <w:r>
        <w:t xml:space="preserve">treat the compound’s binding across the</w:t>
      </w:r>
      <w:r>
        <w:t xml:space="preserve"> </w:t>
      </w:r>
      <w:r>
        <w:t xml:space="preserve">panel as a probability distribution and report its Shannon entropy. A profile</w:t>
      </w:r>
      <w:r>
        <w:t xml:space="preserve"> </w:t>
      </w:r>
      <w:r>
        <w:t xml:space="preserve">concentrated on few kinases has low entropy and is selective.</w:t>
      </w:r>
      <w:r>
        <w:t xml:space="preserve"> </w:t>
      </w:r>
      <w:r>
        <w:t xml:space="preserve">In the original definition the weight on each kinase is its association constant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(the share of compound that would be bound to kinase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an equimolar mixture),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We implemented the entropy on the same log-affinity scale used by the other</w:t>
      </w:r>
      <w:r>
        <w:t xml:space="preserve"> </w:t>
      </w:r>
      <w:r>
        <w:t xml:space="preserve">metrics, weighting each kinase by its affinity in excess of a baseline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affinity below which binding is treated as negligible.</w:t>
      </w:r>
      <w:r>
        <w:t xml:space="preserve"> </w:t>
      </w:r>
      <w:r>
        <w:t xml:space="preserve">This makes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 explicit parameter (its under-specification motivates</w:t>
      </w:r>
      <w:r>
        <w:t xml:space="preserve"> </w:t>
      </w:r>
      <w:r>
        <w:t xml:space="preserve">property D3 below). 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  <w:r>
        <w:t xml:space="preserve"> </w:t>
      </w:r>
      <w:r>
        <w:t xml:space="preserve">The association-constant and log-affinity weightings are distinct reasonable</w:t>
      </w:r>
      <w:r>
        <w:t xml:space="preserve"> </w:t>
      </w:r>
      <w:r>
        <w:t xml:space="preserve">choices that can rank compounds differently, which is itself an instance of the</w:t>
      </w:r>
      <w:r>
        <w:t xml:space="preserve"> </w:t>
      </w:r>
      <w:r>
        <w:t xml:space="preserve">definitional instability this paper characterizes. We quantify the difference</w:t>
      </w:r>
      <w:r>
        <w:t xml:space="preserve"> </w:t>
      </w:r>
      <w:r>
        <w:t xml:space="preserve">below.</w:t>
      </w:r>
    </w:p>
    <w:bookmarkEnd w:id="15"/>
    <w:bookmarkStart w:id="16" w:name="gini-coefficient."/>
    <w:p>
      <w:pPr>
        <w:pStyle w:val="Heading4"/>
      </w:pPr>
      <w:r>
        <w:t xml:space="preserve">Gini coefficient.</w:t>
      </w:r>
    </w:p>
    <w:p>
      <w:pPr>
        <w:pStyle w:val="FirstParagraph"/>
      </w:pPr>
      <w:r>
        <w:t xml:space="preserve">Graczyk</w:t>
      </w:r>
      <w:r>
        <w:t xml:space="preserve">(Graczyk 2007)</w:t>
      </w:r>
      <w:r>
        <w:t xml:space="preserve"> </w:t>
      </w:r>
      <w:r>
        <w:t xml:space="preserve">adapted the Gini coefficient from economics: kinases</w:t>
      </w:r>
      <w:r>
        <w:t xml:space="preserve"> </w:t>
      </w:r>
      <w:r>
        <w:t xml:space="preserve">are sorted by activity and the cumulative fraction of total binding is plotted</w:t>
      </w:r>
      <w:r>
        <w:t xml:space="preserve"> </w:t>
      </w:r>
      <w:r>
        <w:t xml:space="preserve">against the cumulative fraction of kinases (a Lorenz curve). The Gini</w:t>
      </w:r>
      <w:r>
        <w:t xml:space="preserve"> </w:t>
      </w:r>
      <w:r>
        <w:t xml:space="preserve">coefficient, which measures how unequally is binding distributed across the kinome,</w:t>
      </w:r>
      <w:r>
        <w:t xml:space="preserve"> </w:t>
      </w:r>
      <w:r>
        <w:t xml:space="preserve">is twice the area between this curve and the diagonal of equal</w:t>
      </w:r>
      <w:r>
        <w:t xml:space="preserve"> </w:t>
      </w:r>
      <w:r>
        <w:t xml:space="preserve">distribution.</w:t>
      </w:r>
      <w:r>
        <w:t xml:space="preserve"> </w:t>
      </w:r>
      <w:r>
        <w:t xml:space="preserve">The original work computes it from percent-inhibition values.</w:t>
      </w:r>
      <w:r>
        <w:t xml:space="preserve"> </w:t>
      </w:r>
      <w:r>
        <w:t xml:space="preserve">We applied the standard discrete Gini formula to the same baseline-subtracted</w:t>
      </w:r>
      <w:r>
        <w:t xml:space="preserve"> </w:t>
      </w:r>
      <w:r>
        <w:t xml:space="preserve">log-affinities used for the entropy: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,</m:t>
          </m:r>
          <m:r>
            <m:t> </m:t>
          </m:r>
          <m:r>
            <m:t>0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sorted ascending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  <w:r>
        <w:t xml:space="preserve"> </w:t>
      </w:r>
      <w:r>
        <w:t xml:space="preserve">A compound whose binding is concentrated on one kinase has a highly unequal</w:t>
      </w:r>
      <w:r>
        <w:t xml:space="preserve"> </w:t>
      </w:r>
      <w:r>
        <w:t xml:space="preserve">distribution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1, while a compound that binds many kinases equally has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0. Higher values therefore indicate greater selectivity.</w:t>
      </w:r>
    </w:p>
    <w:bookmarkEnd w:id="16"/>
    <w:bookmarkStart w:id="17" w:name="ratio."/>
    <w:p>
      <w:pPr>
        <w:pStyle w:val="Heading4"/>
      </w:pPr>
      <w:r>
        <w:t xml:space="preserve">Ratio.</w:t>
      </w:r>
    </w:p>
    <w:p>
      <w:pPr>
        <w:pStyle w:val="FirstParagraph"/>
      </w:pPr>
      <w:r>
        <w:t xml:space="preserve">Classical pharmacological selectivity is pairwise: how much more tightly does a</w:t>
      </w:r>
      <w:r>
        <w:t xml:space="preserve"> </w:t>
      </w:r>
      <w:r>
        <w:t xml:space="preserve">compound bind its primary target than an off-target?</w:t>
      </w:r>
      <w:r>
        <w:t xml:space="preserve"> </w:t>
      </w:r>
      <w:r>
        <w:t xml:space="preserve">We implemented this as the fold-selectivity, in log units, between the primary</w:t>
      </w:r>
      <w:r>
        <w:t xml:space="preserve"> </w:t>
      </w:r>
      <w:r>
        <w:t xml:space="preserve">target and the</w:t>
      </w:r>
      <w:r>
        <w:t xml:space="preserve"> </w:t>
      </w:r>
      <m:oMath>
        <m:r>
          <m:t>k</m:t>
        </m:r>
      </m:oMath>
      <w:r>
        <w:t xml:space="preserve">-th ranked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j</m:t>
        </m:r>
      </m:oMath>
      <w:r>
        <w:t xml:space="preserve">-th largest affinity in the profile 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the reference off-target.</w:t>
      </w:r>
      <w:r>
        <w:t xml:space="preserve"> </w:t>
      </w:r>
      <w:r>
        <w:t xml:space="preserve">This is the prototypical member of the ratio family, which also includes the</w:t>
      </w:r>
      <w:r>
        <w:t xml:space="preserve"> </w:t>
      </w:r>
      <w:r>
        <w:t xml:space="preserve">concentration- and target-dependent selectivity (CATDS) score of Klaeger et</w:t>
      </w:r>
      <w:r>
        <w:t xml:space="preserve"> </w:t>
      </w:r>
      <w:r>
        <w:t xml:space="preserve">al.</w:t>
      </w:r>
      <w:r>
        <w:t xml:space="preserve">(</w:t>
      </w:r>
      <w:r>
        <w:t xml:space="preserve">Klaeger et al.</w:t>
      </w:r>
      <w:r>
        <w:t xml:space="preserve"> </w:t>
      </w:r>
      <w:r>
        <w:t xml:space="preserve">2017)</w:t>
      </w:r>
      <w:r>
        <w:t xml:space="preserve">. Members of the ratio family of selectivity definitions</w:t>
      </w:r>
      <w:r>
        <w:t xml:space="preserve"> </w:t>
      </w:r>
      <w:r>
        <w:t xml:space="preserve">are concentration-dependent fractions quantifying the</w:t>
      </w:r>
      <w:r>
        <w:t xml:space="preserve"> </w:t>
      </w:r>
      <w:r>
        <w:t xml:space="preserve">binding reduction at one target relative to the summed reduction across all</w:t>
      </w:r>
      <w:r>
        <w:t xml:space="preserve"> </w:t>
      </w:r>
      <w:r>
        <w:t xml:space="preserve">targets.</w:t>
      </w:r>
      <w:r>
        <w:t xml:space="preserve"> </w:t>
      </w:r>
      <w:r>
        <w:t xml:space="preserve">We use the simpler fold-selectivity because the reference off-target index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then an explicit parameter whose effect can be studied directly.</w:t>
      </w:r>
      <w:r>
        <w:t xml:space="preserve"> </w:t>
      </w:r>
      <w:r>
        <w:t xml:space="preserve">A larger affinity gap to the nearest competitor means greater selectivity, so</w:t>
      </w:r>
      <w:r>
        <w:t xml:space="preserve"> </w:t>
      </w:r>
      <w:r>
        <w:t xml:space="preserve">higher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indicates greater selectivity.</w:t>
      </w:r>
    </w:p>
    <w:bookmarkEnd w:id="17"/>
    <w:bookmarkStart w:id="18" w:name="Xc884a1e8f7c5dcfad8bbfa340ec2e543ae56c17"/>
    <w:p>
      <w:pPr>
        <w:pStyle w:val="Heading4"/>
      </w:pPr>
      <w:r>
        <w:t xml:space="preserve">Faithfulness to the original definitions.</w:t>
      </w:r>
    </w:p>
    <w:p>
      <w:pPr>
        <w:pStyle w:val="FirstParagraph"/>
      </w:pPr>
      <w:r>
        <w:t xml:space="preserve">The S-score and the ratio are computed in the form given by their original</w:t>
      </w:r>
      <w:r>
        <w:t xml:space="preserve"> </w:t>
      </w:r>
      <w:r>
        <w:t xml:space="preserve">sources (a panel-hit fraction and a primary-to-off-target affinity ratio,</w:t>
      </w:r>
      <w:r>
        <w:t xml:space="preserve"> </w:t>
      </w:r>
      <w:r>
        <w:t xml:space="preserve">respectively).</w:t>
      </w:r>
      <w:r>
        <w:t xml:space="preserve"> </w:t>
      </w:r>
      <w:r>
        <w:t xml:space="preserve">For the entropy and the Gini coefficient, we used the baseline-subtracted</w:t>
      </w:r>
      <w:r>
        <w:t xml:space="preserve"> </w:t>
      </w:r>
      <w:r>
        <w:t xml:space="preserve">log-affinity profile in place of the original association constants (entropy)</w:t>
      </w:r>
      <w:r>
        <w:t xml:space="preserve"> </w:t>
      </w:r>
      <w:r>
        <w:t xml:space="preserve">and percent-inhibition values (Gini), so that all four metrics operate on one</w:t>
      </w:r>
      <w:r>
        <w:t xml:space="preserve"> </w:t>
      </w:r>
      <w:r>
        <w:t xml:space="preserve">common scale, and so that the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appears as an explicit parameter.</w:t>
      </w:r>
      <w:r>
        <w:t xml:space="preserve"> </w:t>
      </w:r>
      <w:r>
        <w:t xml:space="preserve">To confirm that this choice does not silently determine our conclusions, we</w:t>
      </w:r>
      <w:r>
        <w:t xml:space="preserve"> </w:t>
      </w:r>
      <w:r>
        <w:t xml:space="preserve">recomputed the entropy and Gini in forms closer to the originals</w:t>
      </w:r>
      <w:r>
        <w:t xml:space="preserve"> </w:t>
      </w:r>
      <w:r>
        <w:t xml:space="preserve">(association-constant weighting) and compared the resulting rankings with the</w:t>
      </w:r>
      <w:r>
        <w:t xml:space="preserve"> </w:t>
      </w:r>
      <w:r>
        <w:t xml:space="preserve">log-affinity forms.</w:t>
      </w:r>
      <w:r>
        <w:t xml:space="preserve"> </w:t>
      </w:r>
      <w:r>
        <w:t xml:space="preserve">The two operationalizations differ substantially — for entropy,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0.42</m:t>
        </m:r>
      </m:oMath>
      <w:r>
        <w:t xml:space="preserve"> </w:t>
      </w:r>
      <w:r>
        <w:t xml:space="preserve">(Davis) and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 </w:t>
      </w:r>
      <w:r>
        <w:t xml:space="preserve">(Klaeger), while for Gini,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 </w:t>
      </w:r>
      <w:r>
        <w:t xml:space="preserve">(Supporting Information, Figure S1). This confirms that the operationalization</w:t>
      </w:r>
      <w:r>
        <w:t xml:space="preserve"> </w:t>
      </w:r>
      <w:r>
        <w:t xml:space="preserve">of a named metric is itself a source of the definitional instability we report,</w:t>
      </w:r>
      <w:r>
        <w:t xml:space="preserve"> </w:t>
      </w:r>
      <w:r>
        <w:t xml:space="preserve">not a neutral implementation detail.</w:t>
      </w:r>
    </w:p>
    <w:bookmarkEnd w:id="18"/>
    <w:bookmarkEnd w:id="19"/>
    <w:bookmarkStart w:id="20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parameter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-values.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2020; McKinney 2010;</w:t>
      </w:r>
      <w:r>
        <w:t xml:space="preserve"> 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 </w:t>
      </w:r>
      <w:r>
        <w:t xml:space="preserve">A secondary analysis relating selectivity rankings to clinical adverse-event</w:t>
      </w:r>
      <w:r>
        <w:t xml:space="preserve"> </w:t>
      </w:r>
      <w:r>
        <w:t xml:space="preserve">outcomes (FAERS report rates and FDA-label discontinuation rates for the</w:t>
      </w:r>
      <w:r>
        <w:t xml:space="preserve"> </w:t>
      </w:r>
      <w:r>
        <w:t xml:space="preserve">FDA-approved Klaeger compounds) is summarized in the Limitations section</w:t>
      </w:r>
      <w:r>
        <w:t xml:space="preserve"> </w:t>
      </w:r>
      <w:r>
        <w:t xml:space="preserve">and reported in full in the Supporting Information section.</w:t>
      </w:r>
    </w:p>
    <w:bookmarkEnd w:id="20"/>
    <w:bookmarkEnd w:id="21"/>
    <w:bookmarkStart w:id="47" w:name="sec:results"/>
    <w:p>
      <w:pPr>
        <w:pStyle w:val="Heading1"/>
      </w:pPr>
      <w:r>
        <w:t xml:space="preserve">Results</w:t>
      </w:r>
    </w:p>
    <w:bookmarkStart w:id="23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22" w:name="tab:correlations"/>
    <w:p>
      <w:pPr>
        <w:pStyle w:val="TableCaption"/>
      </w:pPr>
      <w:r>
        <w:t xml:space="preserve">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2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panel.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23"/>
    <w:bookmarkStart w:id="28" w:name="sec:results:replication"/>
    <w:p>
      <w:pPr>
        <w:pStyle w:val="Heading2"/>
      </w:pPr>
      <w:r>
        <w:t xml:space="preserve">The Two-Family Structure Replicates Across Assay Technologies</w:t>
      </w:r>
    </w:p>
    <w:p>
      <w:pPr>
        <w:pStyle w:val="FirstParagraph"/>
      </w:pPr>
      <w:r>
        <w:t xml:space="preserve">The Davis and Klaeger pattern of 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extends to the two</w:t>
      </w:r>
      <w:r>
        <w:t xml:space="preserve"> </w:t>
      </w:r>
      <w:r>
        <w:t xml:space="preserve">further datasets, across three assay technologies and both readout types</w:t>
      </w:r>
      <w:r>
        <w:t xml:space="preserve"> </w:t>
      </w:r>
      <w:r>
        <w:t xml:space="preserve">(Figure </w:t>
      </w:r>
      <w:hyperlink w:anchor="fig:crossdataset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In all four, the S-score, entropy, and Gini remain mutually correlated</w:t>
      </w:r>
      <w:r>
        <w:t xml:space="preserve"> </w:t>
      </w:r>
      <w:r>
        <w:t xml:space="preserve">(within-family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0.74</m:t>
        </m:r>
      </m:oMath>
      <w:r>
        <w:t xml:space="preserve">–</w:t>
      </w:r>
      <m:oMath>
        <m:r>
          <m:t>0.99</m:t>
        </m:r>
      </m:oMath>
      <w:r>
        <w:t xml:space="preserve">) while the ratio definition is the</w:t>
      </w:r>
      <w:r>
        <w:t xml:space="preserve"> </w:t>
      </w:r>
      <w:r>
        <w:t xml:space="preserve">consistent outlier. Its correlation with the distribution-based family is</w:t>
      </w:r>
      <w:r>
        <w:t xml:space="preserve"> </w:t>
      </w:r>
      <m:oMath>
        <m:r>
          <m:t>0.52</m:t>
        </m:r>
      </m:oMath>
      <w:r>
        <w:t xml:space="preserve">–</w:t>
      </w:r>
      <m:oMath>
        <m:r>
          <m:t>0.56</m:t>
        </m:r>
      </m:oMath>
      <w:r>
        <w:t xml:space="preserve"> </w:t>
      </w:r>
      <w:r>
        <w:t xml:space="preserve">on the Anastassiadis functional-activity dataset and only</w:t>
      </w:r>
      <w:r>
        <w:t xml:space="preserve"> </w:t>
      </w:r>
      <m:oMath>
        <m:r>
          <m:t>0.14</m:t>
        </m:r>
      </m:oMath>
      <w:r>
        <w:t xml:space="preserve">–</w:t>
      </w:r>
      <m:oMath>
        <m:r>
          <m:t>0.19</m:t>
        </m:r>
      </m:oMath>
      <w:r>
        <w:t xml:space="preserve"> </w:t>
      </w:r>
      <w:r>
        <w:t xml:space="preserve">on the Metz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dataset.</w:t>
      </w:r>
      <w:r>
        <w:t xml:space="preserve"> </w:t>
      </w:r>
      <w:r>
        <w:t xml:space="preserve">The degree of separation varies with the assay, but in every case the ratio</w:t>
      </w:r>
      <w:r>
        <w:t xml:space="preserve"> </w:t>
      </w:r>
      <w:r>
        <w:t xml:space="preserve">definition measures something the distribution-based definitions do not.</w:t>
      </w:r>
    </w:p>
    <w:p>
      <w:pPr>
        <w:pStyle w:val="BodyText"/>
      </w:pPr>
      <w:r>
        <w:t xml:space="preserve">The instability findings also replicate.</w:t>
      </w:r>
      <w:r>
        <w:t xml:space="preserve"> </w:t>
      </w:r>
      <w:r>
        <w:t xml:space="preserve">Compounds with no active kinases (Type 1, below) are markedly more rank-unstable</w:t>
      </w:r>
      <w:r>
        <w:t xml:space="preserve"> </w:t>
      </w:r>
      <w:r>
        <w:t xml:space="preserve">than active compounds wherever such compounds exist: mean rank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37.6</m:t>
        </m:r>
      </m:oMath>
      <w:r>
        <w:t xml:space="preserve"> </w:t>
      </w:r>
      <w:r>
        <w:t xml:space="preserve">vs. </w:t>
      </w:r>
      <m:oMath>
        <m:r>
          <m:t>22.0</m:t>
        </m:r>
      </m:oMath>
      <w:r>
        <w:t xml:space="preserve"> </w:t>
      </w:r>
      <w:r>
        <w:t xml:space="preserve">on Anastassiadis and</w:t>
      </w:r>
      <w:r>
        <w:t xml:space="preserve"> </w:t>
      </w:r>
      <m:oMath>
        <m:r>
          <m:t>178.7</m:t>
        </m:r>
      </m:oMath>
      <w:r>
        <w:t xml:space="preserve"> </w:t>
      </w:r>
      <w:r>
        <w:t xml:space="preserve">vs. </w:t>
      </w:r>
      <m:oMath>
        <m:r>
          <m:t>108.2</m:t>
        </m:r>
      </m:oMath>
      <w:r>
        <w:t xml:space="preserve"> </w:t>
      </w:r>
      <w:r>
        <w:t xml:space="preserve">on Metz,</w:t>
      </w:r>
      <w:r>
        <w:t xml:space="preserve"> </w:t>
      </w:r>
      <w:r>
        <w:t xml:space="preserve">matching the</w:t>
      </w:r>
      <w:r>
        <w:t xml:space="preserve"> </w:t>
      </w:r>
      <m:oMath>
        <m:r>
          <m:t>73.8</m:t>
        </m:r>
      </m:oMath>
      <w:r>
        <w:t xml:space="preserve"> </w:t>
      </w:r>
      <w:r>
        <w:t xml:space="preserve">vs. </w:t>
      </w:r>
      <m:oMath>
        <m:r>
          <m:t>32.4</m:t>
        </m:r>
      </m:oMath>
      <w:r>
        <w:t xml:space="preserve"> </w:t>
      </w:r>
      <w:r>
        <w:t xml:space="preserve">contrast on Klaeger (Davis contains no</w:t>
      </w:r>
      <w:r>
        <w:t xml:space="preserve"> </w:t>
      </w:r>
      <w:r>
        <w:t xml:space="preserve">zero-active compounds).</w:t>
      </w:r>
      <w:r>
        <w:t xml:space="preserve"> </w:t>
      </w:r>
      <w:r>
        <w:t xml:space="preserve">Within the distribution-based family, the number of active kinases negatively</w:t>
      </w:r>
      <w:r>
        <w:t xml:space="preserve"> </w:t>
      </w:r>
      <w:r>
        <w:t xml:space="preserve">predicts entropy instability in every dataset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), and the</w:t>
      </w:r>
      <w:r>
        <w:t xml:space="preserve"> </w:t>
      </w:r>
      <w:r>
        <w:t xml:space="preserve">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 predicts ratio instability on Davis, Klaeger, and</w:t>
      </w:r>
      <w:r>
        <w:t xml:space="preserve"> </w:t>
      </w:r>
      <w:r>
        <w:t xml:space="preserve">Metz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0.34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;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as detailed below.</w:t>
      </w:r>
    </w:p>
    <w:bookmarkStart w:id="27" w:name="fig:crossdataset"/>
    <w:p>
      <w:pPr>
        <w:pStyle w:val="CaptionedFigure"/>
      </w:pPr>
      <w:r>
        <w:drawing>
          <wp:inline>
            <wp:extent cx="5334000" cy="15491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cross_dataset_corre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correlations between the median rankings of the</w:t>
      </w:r>
      <w:r>
        <w:t xml:space="preserve"> </w:t>
      </w:r>
      <w:r>
        <w:t xml:space="preserve">four selectivity definitions, computed independently on each of the</w:t>
      </w:r>
      <w:r>
        <w:t xml:space="preserve"> </w:t>
      </w:r>
      <w:r>
        <w:t xml:space="preserve">four datasets (compound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kinase panel sizes shown).</w:t>
      </w:r>
      <w:r>
        <w:t xml:space="preserve"> </w:t>
      </w:r>
      <w:r>
        <w:t xml:space="preserve">In every dataset the S-score (S), entropy (Ent), and Gini cluster</w:t>
      </w:r>
      <w:r>
        <w:t xml:space="preserve"> </w:t>
      </w:r>
      <w:r>
        <w:t xml:space="preserve">together while the ratio is the consistent outlier (the ratio row</w:t>
      </w:r>
      <w:r>
        <w:t xml:space="preserve"> </w:t>
      </w:r>
      <w:r>
        <w:t xml:space="preserve">and column are the least green throughout), confirming the</w:t>
      </w:r>
      <w:r>
        <w:t xml:space="preserve"> </w:t>
      </w:r>
      <w:r>
        <w:t xml:space="preserve">two-family structure across competition-binding, chemoproteomic, and</w:t>
      </w:r>
      <w:r>
        <w:t xml:space="preserve"> </w:t>
      </w:r>
      <w:r>
        <w:t xml:space="preserve">functional-activity assays.</w:t>
      </w:r>
    </w:p>
    <w:bookmarkEnd w:id="27"/>
    <w:bookmarkEnd w:id="28"/>
    <w:bookmarkStart w:id="35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32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instability_by_famil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32"/>
    <w:p>
      <w:pPr>
        <w:pStyle w:val="BodyText"/>
      </w:pPr>
      <w:bookmarkStart w:id="33" w:name="sec:results:instability"/>
      <w:bookmarkEnd w:id="33"/>
    </w:p>
    <w:p>
      <w:pPr>
        <w:pStyle w:val="BodyText"/>
      </w:pPr>
      <w:r>
        <w:t xml:space="preserve">Overall rank instability (measured as the standard deviation of a</w:t>
      </w:r>
      <w:r>
        <w:t xml:space="preserve"> </w:t>
      </w:r>
      <w:r>
        <w:t xml:space="preserve">compound’s rank across all 30 configurations)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(Figure </w:t>
      </w:r>
      <w:hyperlink w:anchor="fig:instability">
        <w:r>
          <w:rPr>
            <w:rStyle w:val="Hyperlink"/>
          </w:rPr>
          <w:t xml:space="preserve">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Davis,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choices, while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for the S-score and</w:t>
      </w:r>
      <w:r>
        <w:t xml:space="preserve"> </w:t>
      </w:r>
      <w:r>
        <w:t xml:space="preserve">entropy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, both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Gini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 It is consistent with the interpretation that heterogeneous</w:t>
      </w:r>
      <w:r>
        <w:t xml:space="preserve"> </w:t>
      </w:r>
      <w:r>
        <w:t xml:space="preserve">profiles (whose affinities span a wide range) yield more reproducible rankings</w:t>
      </w:r>
      <w:r>
        <w:t xml:space="preserve"> </w:t>
      </w:r>
      <w:r>
        <w:t xml:space="preserve">across parameter choices than flat profiles (in which many near-equal affinities</w:t>
      </w:r>
      <w:r>
        <w:t xml:space="preserve"> </w:t>
      </w:r>
      <w:r>
        <w:t xml:space="preserve">reshuffle as the parameter changes).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34" w:name="tab:predictors"/>
    <w:p>
      <w:pPr>
        <w:pStyle w:val="TableCaption"/>
      </w:pPr>
      <w:r>
        <w:t xml:space="preserve">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0.128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0.341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0.215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0.176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0.163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0.282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0.186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bookmarkEnd w:id="34"/>
    <w:bookmarkEnd w:id="35"/>
    <w:bookmarkStart w:id="41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9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binding_profil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9"/>
    <w:p>
      <w:pPr>
        <w:pStyle w:val="BodyText"/>
      </w:pPr>
      <w:bookmarkStart w:id="40" w:name="sec:results:taxonomy"/>
      <w:bookmarkEnd w:id="40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</w:t>
      </w:r>
      <w:r>
        <w:t xml:space="preserve"> </w:t>
      </w:r>
      <w:r>
        <w:t xml:space="preserve">(Figure </w:t>
      </w:r>
      <w:hyperlink w:anchor="fig:profiles">
        <w:r>
          <w:rPr>
            <w:rStyle w:val="Hyperlink"/>
          </w:rPr>
          <w:t xml:space="preserve">3</w:t>
        </w:r>
      </w:hyperlink>
      <w:r>
        <w:t xml:space="preserve">),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Filgotinib,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dataset: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When a compound’s two best-bound kinases have near-identical affinities, the</w:t>
      </w:r>
      <w:r>
        <w:t xml:space="preserve"> </w:t>
      </w:r>
      <w:r>
        <w:t xml:space="preserve">ratio is highly sensitive to which is designated the primary target and which</w:t>
      </w:r>
      <w:r>
        <w:t xml:space="preserve"> </w:t>
      </w:r>
      <w:r>
        <w:t xml:space="preserve">the reference off-target, because a small parameter change can swap their roles.</w:t>
      </w:r>
      <w:r>
        <w:t xml:space="preserve"> </w:t>
      </w:r>
      <w:r>
        <w:t xml:space="preserve">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 pKd units) is the</w:t>
      </w:r>
      <w:r>
        <w:t xml:space="preserve"> </w:t>
      </w:r>
      <w:r>
        <w:t xml:space="preserve">extreme case: its two best-bound kinases are essentially indistinguishable, so</w:t>
      </w:r>
      <w:r>
        <w:t xml:space="preserve"> </w:t>
      </w:r>
      <w:r>
        <w:t xml:space="preserve">it receives maximally unstable ratio rankings.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incorrect, as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instability.</w:t>
      </w:r>
    </w:p>
    <w:bookmarkEnd w:id="41"/>
    <w:bookmarkStart w:id="46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t xml:space="preserve">(Bosc et al. 2017)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is further evidence that ratio-based definitions measure a qualitatively</w:t>
      </w:r>
      <w:r>
        <w:t xml:space="preserve"> </w:t>
      </w:r>
      <w:r>
        <w:t xml:space="preserve">different property from distribution-based definitions, and reinforces D2</w:t>
      </w:r>
      <w:r>
        <w:t xml:space="preserve"> </w:t>
      </w:r>
      <w:r>
        <w:t xml:space="preserve">(bounded gap sensitivity) as a necessary property.</w:t>
      </w:r>
    </w:p>
    <w:bookmarkStart w:id="45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panel_size_stabil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45"/>
    <w:bookmarkEnd w:id="46"/>
    <w:bookmarkEnd w:id="47"/>
    <w:bookmarkStart w:id="58" w:name="sec:desiderata"/>
    <w:p>
      <w:pPr>
        <w:pStyle w:val="Heading1"/>
      </w:pPr>
      <w:r>
        <w:t xml:space="preserve">Required Properties for a Well-Formed Selectivity Measure</w:t>
      </w:r>
    </w:p>
    <w:p>
      <w:pPr>
        <w:pStyle w:val="FirstParagraph"/>
      </w:pPr>
      <w:r>
        <w:t xml:space="preserve">The empirical findings of the Results section motivate four properties that any</w:t>
      </w:r>
      <w:r>
        <w:t xml:space="preserve"> </w:t>
      </w:r>
      <w:r>
        <w:t xml:space="preserve">well-formed kinase inhibitor selectivity measure should satisfy.</w:t>
      </w:r>
      <w:r>
        <w:t xml:space="preserve"> </w:t>
      </w:r>
      <w:r>
        <w:t xml:space="preserve">Each property is stated below together with the observed failure mode that</w:t>
      </w:r>
      <w:r>
        <w:t xml:space="preserve"> </w:t>
      </w:r>
      <w:r>
        <w:t xml:space="preserve">motivates it.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bookmarkStart w:id="48" w:name="d1-reliability-threshold."/>
    <w:p>
      <w:pPr>
        <w:pStyle w:val="Heading4"/>
      </w:pPr>
      <w:r>
        <w:t xml:space="preserve">D1 — Reliability threshold.</w:t>
      </w:r>
    </w:p>
    <w:p>
      <w:pPr>
        <w:pStyle w:val="FirstParagraph"/>
      </w:pP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binding, so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bookmarkEnd w:id="48"/>
    <w:bookmarkStart w:id="49" w:name="d2-bounded-gap-sensitivity."/>
    <w:p>
      <w:pPr>
        <w:pStyle w:val="Heading4"/>
      </w:pPr>
      <w:r>
        <w:t xml:space="preserve">D2 — Bounded gap sensitivity.</w:t>
      </w:r>
    </w:p>
    <w:p>
      <w:pPr>
        <w:pStyle w:val="FirstParagraph"/>
      </w:pP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are symmetric functions of the full set of normalized</w:t>
      </w:r>
      <w:r>
        <w:t xml:space="preserve"> </w:t>
      </w:r>
      <w:r>
        <w:t xml:space="preserve">activities, with no term that singles out a particular ranked off-target.</w:t>
      </w:r>
    </w:p>
    <w:bookmarkEnd w:id="49"/>
    <w:bookmarkStart w:id="50" w:name="d3-distributional-consistency."/>
    <w:p>
      <w:pPr>
        <w:pStyle w:val="Heading4"/>
      </w:pPr>
      <w:r>
        <w:t xml:space="preserve">D3 — Distributional consistency.</w:t>
      </w:r>
    </w:p>
    <w:p>
      <w:pPr>
        <w:pStyle w:val="FirstParagraph"/>
      </w:pP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bookmarkEnd w:id="50"/>
    <w:bookmarkStart w:id="52" w:name="Xfa395bfc7f57b26bc6db33f24618a71aa662a1d"/>
    <w:p>
      <w:pPr>
        <w:pStyle w:val="Heading4"/>
      </w:pPr>
      <w:r>
        <w:t xml:space="preserve">D4 — Monotonicity under weak off-target addition.</w:t>
      </w:r>
    </w:p>
    <w:p>
      <w:pPr>
        <w:pStyle w:val="FirstParagraph"/>
      </w:pP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S-score and the Gini coefficient violate this property.</w:t>
      </w:r>
      <w:r>
        <w:t xml:space="preserve"> </w:t>
      </w:r>
      <w:r>
        <w:t xml:space="preserve">Adding a kinase that the compound does not meaningfully bind increases the panel</w:t>
      </w:r>
      <w:r>
        <w:t xml:space="preserve"> </w:t>
      </w:r>
      <w:r>
        <w:t xml:space="preserve">size without adding activity: this lowers the S-score’s fraction of hit kinases</w:t>
      </w:r>
      <w:r>
        <w:t xml:space="preserve"> </w:t>
      </w:r>
      <w:r>
        <w:t xml:space="preserve">and raises the Gini coefficient’s inequality, in both cases inflating the</w:t>
      </w:r>
      <w:r>
        <w:t xml:space="preserve"> </w:t>
      </w:r>
      <w:r>
        <w:t xml:space="preserve">apparent selectivity.</w:t>
      </w:r>
      <w:r>
        <w:t xml:space="preserve"> </w:t>
      </w:r>
      <w:r>
        <w:t xml:space="preserve">A compound can therefore be made to look more selective simply by profiling it</w:t>
      </w:r>
      <w:r>
        <w:t xml:space="preserve"> </w:t>
      </w:r>
      <w:r>
        <w:t xml:space="preserve">against more inactive kinases — a serious problem when panels differ in size or</w:t>
      </w:r>
      <w:r>
        <w:t xml:space="preserve"> </w:t>
      </w:r>
      <w:r>
        <w:t xml:space="preserve">composition across experiments, as between Davis and Klaeger.</w:t>
      </w:r>
      <w:r>
        <w:t xml:space="preserve"> </w:t>
      </w:r>
      <w:r>
        <w:t xml:space="preserve">The entropy and the ratio satisfy D4: a sub-threshold target adds negligible</w:t>
      </w:r>
      <w:r>
        <w:t xml:space="preserve"> </w:t>
      </w:r>
      <w:r>
        <w:t xml:space="preserve">weight to the entropy’s normalized distribution and falls at or below the</w:t>
      </w:r>
      <w:r>
        <w:t xml:space="preserve"> </w:t>
      </w:r>
      <w:r>
        <w:t xml:space="preserve">ratio’s reference off-target, so neither score increases (verified empirically</w:t>
      </w:r>
      <w:r>
        <w:t xml:space="preserve"> </w:t>
      </w:r>
      <w:r>
        <w:t xml:space="preserve">in the next section).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definitions satisfy each property.</w:t>
      </w:r>
      <w:r>
        <w:t xml:space="preserve"> </w:t>
      </w:r>
      <w:r>
        <w:t xml:space="preserve">No existing definition satisfies all four simultaneously, but the candidate measure</w:t>
      </w:r>
      <w:r>
        <w:t xml:space="preserve"> </w:t>
      </w:r>
      <w:r>
        <w:t xml:space="preserve">introduced next does.</w:t>
      </w:r>
    </w:p>
    <w:bookmarkStart w:id="51" w:name="tab:desiderata"/>
    <w:p>
      <w:pPr>
        <w:pStyle w:val="TableCaption"/>
      </w:pPr>
      <w:r>
        <w:t xml:space="preserve">Satisfaction of the four required properties by existing selectivity</w:t>
      </w:r>
      <w:r>
        <w:t xml:space="preserve"> </w:t>
      </w:r>
      <w:r>
        <w:t xml:space="preserve">definitions and by the candidate measure introduced below.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(by construction, or verified empirically for</w:t>
      </w:r>
      <w:r>
        <w:t xml:space="preserve"> </w:t>
      </w:r>
      <w:r>
        <w:t xml:space="preserve">the candidate).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tisfaction of the four required properties by existing selectivity definitions and by the candidate measure introduced below. \checkmark: satisfied (by construction, or verified empirically for the candidate). \sim: partially satisfied or satisfied under additional assumptions. \times: violated in gener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bookmarkEnd w:id="51"/>
    <w:bookmarkEnd w:id="52"/>
    <w:bookmarkStart w:id="57" w:name="sec:candidate"/>
    <w:p>
      <w:pPr>
        <w:pStyle w:val="Heading2"/>
      </w:pPr>
      <w:r>
        <w:t xml:space="preserve">A Candidate Measure</w:t>
      </w:r>
    </w:p>
    <w:p>
      <w:pPr>
        <w:pStyle w:val="FirstParagraph"/>
      </w:pPr>
      <w:r>
        <w:t xml:space="preserve">The four properties can indeed be satisfied, and the selectivity entropy is the</w:t>
      </w:r>
      <w:r>
        <w:t xml:space="preserve"> </w:t>
      </w:r>
      <w:r>
        <w:t xml:space="preserve">natural starting point.</w:t>
      </w:r>
      <w:r>
        <w:t xml:space="preserve"> </w:t>
      </w:r>
      <w:r>
        <w:t xml:space="preserve">Of the existing definitions it is the only one that already satisfies both D2 and</w:t>
      </w:r>
      <w:r>
        <w:t xml:space="preserve"> </w:t>
      </w:r>
      <w:r>
        <w:t xml:space="preserve">D4 (Table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): because it scores the whole normalized profile</w:t>
      </w:r>
      <w:r>
        <w:t xml:space="preserve"> </w:t>
      </w:r>
      <w:r>
        <w:t xml:space="preserve">rather than a single pairwise gap, it neither privileges a reference off-target</w:t>
      </w:r>
      <w:r>
        <w:t xml:space="preserve"> </w:t>
      </w:r>
      <w:r>
        <w:t xml:space="preserve">(D2) nor rewards the addition of non-binders (D4).</w:t>
      </w:r>
      <w:r>
        <w:t xml:space="preserve"> </w:t>
      </w:r>
      <w:r>
        <w:t xml:space="preserve">It fails only D1, having no reliability gate, and D3, because its hard</w:t>
      </w:r>
      <w:r>
        <w:t xml:space="preserve"> </w:t>
      </w:r>
      <w:r>
        <w:t xml:space="preserve">active/inactive cutoff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ranking sensitive to the</w:t>
      </w:r>
      <w:r>
        <w:t xml:space="preserve"> </w:t>
      </w:r>
      <w:r>
        <w:t xml:space="preserve">baseline.</w:t>
      </w:r>
      <w:r>
        <w:t xml:space="preserve"> </w:t>
      </w:r>
      <w:r>
        <w:t xml:space="preserve">The ratio cannot be repaired this way, as it fails D2 by construction, and the</w:t>
      </w:r>
      <w:r>
        <w:t xml:space="preserve"> </w:t>
      </w:r>
      <w:r>
        <w:t xml:space="preserve">S-score and Gini violate D4 intrinsically. The entropy is therefore the one</w:t>
      </w:r>
      <w:r>
        <w:t xml:space="preserve"> </w:t>
      </w:r>
      <w:r>
        <w:t xml:space="preserve">existing measure that can reach all four properties through purely local changes.</w:t>
      </w:r>
      <w:r>
        <w:t xml:space="preserve"> </w:t>
      </w:r>
      <w:r>
        <w:t xml:space="preserve">The candidate makes exactly two: it adds the D1 reliability gate, and it replaces</w:t>
      </w:r>
      <w:r>
        <w:t xml:space="preserve"> </w:t>
      </w:r>
      <w:r>
        <w:t xml:space="preserve">the hard cutoff with a smooth (softplus) hinge that removes the baseline</w:t>
      </w:r>
      <w:r>
        <w:t xml:space="preserve"> </w:t>
      </w:r>
      <w:r>
        <w:t xml:space="preserve">sensitivity.</w:t>
      </w:r>
      <w:r>
        <w:t xml:space="preserve"> </w:t>
      </w:r>
      <w:r>
        <w:t xml:space="preserve">For a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(and undefined otherwise,</w:t>
      </w:r>
      <w:r>
        <w:t xml:space="preserve"> </w:t>
      </w:r>
      <w:r>
        <w:t xml:space="preserve">satisfying D1),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fixed assay detection floor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smoothing width in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units.</w:t>
      </w:r>
      <w:r>
        <w:t xml:space="preserve"> </w:t>
      </w:r>
      <w:r>
        <w:t xml:space="preserve">The score is minus the Shannon entropy of the smoothed, normalized profile —</w:t>
      </w:r>
      <w:r>
        <w:t xml:space="preserve"> </w:t>
      </w:r>
      <w:r>
        <w:t xml:space="preserve">equivalently, minus the logarithm of the effective number of targets the</w:t>
      </w:r>
      <w:r>
        <w:t xml:space="preserve"> </w:t>
      </w:r>
      <w:r>
        <w:t xml:space="preserve">compound binds.</w:t>
      </w:r>
    </w:p>
    <w:p>
      <w:pPr>
        <w:pStyle w:val="BodyText"/>
      </w:pPr>
      <w:r>
        <w:t xml:space="preserve">This measure satisfies all four properties.</w:t>
      </w:r>
      <w:r>
        <w:t xml:space="preserve"> </w:t>
      </w:r>
      <w:r>
        <w:t xml:space="preserve">D1 holds by the explicit reliability gate.</w:t>
      </w:r>
      <w:r>
        <w:t xml:space="preserve"> </w:t>
      </w:r>
      <w:r>
        <w:t xml:space="preserve">D2 holds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symmetric function of the full normalized profile and</w:t>
      </w:r>
      <w:r>
        <w:t xml:space="preserve"> </w:t>
      </w:r>
      <w:r>
        <w:t xml:space="preserve">references no particular off-target.</w:t>
      </w:r>
      <w:r>
        <w:t xml:space="preserve"> </w:t>
      </w:r>
      <w:r>
        <w:t xml:space="preserve">D3 holds because the smooth hinge has no hard active/inactive boundary, so no</w:t>
      </w:r>
      <w:r>
        <w:t xml:space="preserve"> </w:t>
      </w:r>
      <w:r>
        <w:t xml:space="preserve">kinase abruptly enters or leaves the active set as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shifts: empirically, the</w:t>
      </w:r>
      <w:r>
        <w:t xml:space="preserve"> </w:t>
      </w:r>
      <w:r>
        <w:t xml:space="preserve">candidate’s ranking is essentially invariant to the floor over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4.5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]</m:t>
        </m:r>
      </m:oMath>
      <w:r>
        <w:t xml:space="preserve"> </w:t>
      </w:r>
      <w:r>
        <w:t xml:space="preserve">(worst-case pairwise 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), whereas the</w:t>
      </w:r>
      <w:r>
        <w:t xml:space="preserve"> </w:t>
      </w:r>
      <w:r>
        <w:t xml:space="preserve">existing entropy’s ranking can reverse over the same range (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0.95</m:t>
        </m:r>
      </m:oMath>
      <w:r>
        <w:t xml:space="preserve">).</w:t>
      </w:r>
      <w:r>
        <w:t xml:space="preserve"> </w:t>
      </w:r>
      <w:r>
        <w:t xml:space="preserve">D4 holds because the softplus weight vanishes below the floor and is monotone, so</w:t>
      </w:r>
      <w:r>
        <w:t xml:space="preserve"> </w:t>
      </w:r>
      <w:r>
        <w:t xml:space="preserve">adding a sub-threshold target never raises the score (verified for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Klaeger compounds).</w:t>
      </w:r>
    </w:p>
    <w:p>
      <w:pPr>
        <w:pStyle w:val="BodyText"/>
      </w:pPr>
      <w:r>
        <w:t xml:space="preserve">A usable measure must also be recoverable from realistic panels.</w:t>
      </w:r>
      <w:r>
        <w:t xml:space="preserve"> </w:t>
      </w:r>
      <w:r>
        <w:t xml:space="preserve">Applying the panel-size subsampling analysis described above to the candidate</w:t>
      </w:r>
      <w:r>
        <w:t xml:space="preserve"> </w:t>
      </w:r>
      <w:r>
        <w:t xml:space="preserve">(same grid and 50 random</w:t>
      </w:r>
      <w:r>
        <w:t xml:space="preserve"> </w:t>
      </w:r>
      <w:r>
        <w:t xml:space="preserve">subpanels per size), the smallest panel at which its ranking reaches mean</w:t>
      </w:r>
      <w:r>
        <w:t xml:space="preserve"> </w:t>
      </w:r>
      <w:r>
        <w:t xml:space="preserve">Spearman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0.90</m:t>
        </m:r>
      </m:oMath>
      <w:r>
        <w:t xml:space="preserve"> </w:t>
      </w:r>
      <w:r>
        <w:t xml:space="preserve">with its full-panel ranking is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170</m:t>
        </m:r>
      </m:oMath>
      <w:r>
        <w:t xml:space="preserve"> </w:t>
      </w:r>
      <w:r>
        <w:t xml:space="preserve">kinases</w:t>
      </w:r>
      <w:r>
        <w:t xml:space="preserve"> </w:t>
      </w:r>
      <w:r>
        <w:t xml:space="preserve">(Figure </w:t>
      </w:r>
      <w:hyperlink w:anchor="fig:candidate">
        <w:r>
          <w:rPr>
            <w:rStyle w:val="Hyperlink"/>
          </w:rPr>
          <w:t xml:space="preserve">5</w:t>
        </w:r>
      </w:hyperlink>
      <w:r>
        <w:t xml:space="preserve">), placing it in the fast regime alongside the</w:t>
      </w:r>
      <w:r>
        <w:t xml:space="preserve"> </w:t>
      </w:r>
      <w:r>
        <w:t xml:space="preserve">entropy (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110</m:t>
        </m:r>
      </m:oMath>
      <w:r>
        <w:t xml:space="preserve">) and S-score (</w:t>
      </w:r>
      <m:oMath>
        <m:r>
          <m:rPr>
            <m:sty m:val="p"/>
          </m:rPr>
          <m:t>≈</m:t>
        </m:r>
        <m:r>
          <m:t>140</m:t>
        </m:r>
      </m:oMath>
      <w:r>
        <w:t xml:space="preserve">) and well ahead of the</w:t>
      </w:r>
      <w:r>
        <w:t xml:space="preserve"> </w:t>
      </w:r>
      <w:r>
        <w:t xml:space="preserve">Gini (</w:t>
      </w:r>
      <m:oMath>
        <m:r>
          <m:rPr>
            <m:sty m:val="p"/>
          </m:rPr>
          <m:t>≈</m:t>
        </m:r>
        <m:r>
          <m:t>290</m:t>
        </m:r>
      </m:oMath>
      <w:r>
        <w:t xml:space="preserve">) and the ratio (which does not reach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even at</w:t>
      </w:r>
      <w:r>
        <w:t xml:space="preserve"> </w:t>
      </w:r>
      <w:r>
        <w:t xml:space="preserve">the full panel).</w:t>
      </w:r>
      <w:r>
        <w:t xml:space="preserve"> </w:t>
      </w:r>
      <w:r>
        <w:t xml:space="preserve">The candidate thus recovers its full-panel ranking from roughly half a typical</w:t>
      </w:r>
      <w:r>
        <w:t xml:space="preserve"> </w:t>
      </w:r>
      <w:r>
        <w:t xml:space="preserve">large panel.</w:t>
      </w:r>
    </w:p>
    <w:p>
      <w:pPr>
        <w:pStyle w:val="BodyText"/>
      </w:pPr>
      <w:r>
        <w:t xml:space="preserve">We present this as a candidate, not a unique solution.</w:t>
      </w:r>
      <w:r>
        <w:t xml:space="preserve"> </w:t>
      </w:r>
      <w:r>
        <w:t xml:space="preserve">The properties are necessary conditions, and we have not shown that they single</w:t>
      </w:r>
      <w:r>
        <w:t xml:space="preserve"> </w:t>
      </w:r>
      <w:r>
        <w:t xml:space="preserve">out a measure of this form. The smoothing width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itself a design choice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gives the values above):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the softplus hinge</w:t>
      </w:r>
      <w:r>
        <w:t xml:space="preserve"> </w:t>
      </w:r>
      <m:oMath>
        <m:r>
          <m:t>T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converges to the hard cutoff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recovering the standard entropy and reintroducing its D3 baseline sensitivity,</w:t>
      </w:r>
      <w:r>
        <w:t xml:space="preserve"> </w:t>
      </w:r>
      <w:r>
        <w:t xml:space="preserve">so a strictly positive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what buys distributional consistency.</w:t>
      </w:r>
      <w:r>
        <w:t xml:space="preserve"> </w:t>
      </w:r>
      <w:r>
        <w:t xml:space="preserve">Establishing whether the properties are jointly satisfiable only by measures of</w:t>
      </w:r>
      <w:r>
        <w:t xml:space="preserve"> </w:t>
      </w:r>
      <w:r>
        <w:t xml:space="preserve">this family, and whether a uniqueness result analogous to Shannon’s holds, is the</w:t>
      </w:r>
      <w:r>
        <w:t xml:space="preserve"> </w:t>
      </w:r>
      <w:r>
        <w:t xml:space="preserve">subject of future work.</w:t>
      </w:r>
    </w:p>
    <w:bookmarkStart w:id="56" w:name="fig:candidate"/>
    <w:p>
      <w:pPr>
        <w:pStyle w:val="CaptionedFigure"/>
      </w:pPr>
      <w:r>
        <w:drawing>
          <wp:inline>
            <wp:extent cx="4533900" cy="263247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candidate_panel_convergen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32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Panel-size convergence of the candidate measure compared with the</w:t>
      </w:r>
      <w:r>
        <w:t xml:space="preserve"> </w:t>
      </w:r>
      <w:r>
        <w:t xml:space="preserve">four existing definitions (Klaeger, 50 random subpanels per size).</w:t>
      </w:r>
      <w:r>
        <w:t xml:space="preserve"> </w:t>
      </w:r>
      <w:r>
        <w:t xml:space="preserve">Curves show the mean Spearman correlation between the ranking computed</w:t>
      </w:r>
      <w:r>
        <w:t xml:space="preserve"> </w:t>
      </w:r>
      <w:r>
        <w:t xml:space="preserve">on a random subpanel and the full-panel ranking;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(legend) is the</w:t>
      </w:r>
      <w:r>
        <w:t xml:space="preserve"> </w:t>
      </w:r>
      <w:r>
        <w:t xml:space="preserve">smallest panel reaching mean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0.90</m:t>
        </m:r>
      </m:oMath>
      <w:r>
        <w:t xml:space="preserve">.</w:t>
      </w:r>
      <w:r>
        <w:t xml:space="preserve"> </w:t>
      </w:r>
      <w:r>
        <w:t xml:space="preserve">The candidate converges in the fast regime (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170</m:t>
        </m:r>
      </m:oMath>
      <w:r>
        <w:t xml:space="preserve">),</w:t>
      </w:r>
      <w:r>
        <w:t xml:space="preserve"> </w:t>
      </w:r>
      <w:r>
        <w:t xml:space="preserve">comparable to the entropy and S-score and well ahead of the Gini and</w:t>
      </w:r>
      <w:r>
        <w:t xml:space="preserve"> </w:t>
      </w:r>
      <w:r>
        <w:t xml:space="preserve">ratio.</w:t>
      </w:r>
    </w:p>
    <w:bookmarkEnd w:id="56"/>
    <w:bookmarkEnd w:id="57"/>
    <w:bookmarkEnd w:id="58"/>
    <w:bookmarkStart w:id="61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 </w:t>
      </w:r>
      <w:r>
        <w:t xml:space="preserve">across four datasets), and the sources of disagreement are</w:t>
      </w:r>
      <w:r>
        <w:t xml:space="preserve"> </w:t>
      </w:r>
      <w:r>
        <w:t xml:space="preserve">mechanistically interpretable rather than 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p>
      <w:pPr>
        <w:pStyle w:val="BodyText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This coexistence has a historical explanation.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pairwise. IUPAC formalizes it as a selectivity coefficient, the ratio of</w:t>
      </w:r>
      <w:r>
        <w:t xml:space="preserve"> </w:t>
      </w:r>
      <w:r>
        <w:t xml:space="preserve">binding constants for an analyte and an interferent</w:t>
      </w:r>
      <w:r>
        <w:t xml:space="preserve">(</w:t>
      </w:r>
      <w:r>
        <w:t xml:space="preserve">Vessman et al.</w:t>
      </w:r>
      <w:r>
        <w:t xml:space="preserve"> </w:t>
      </w:r>
      <w:r>
        <w:t xml:space="preserve">2001)</w:t>
      </w:r>
      <w:r>
        <w:t xml:space="preserve">, and</w:t>
      </w:r>
      <w:r>
        <w:t xml:space="preserve"> </w:t>
      </w:r>
      <w:r>
        <w:t xml:space="preserve">ratio measures entered kinase profiling on that basis.</w:t>
      </w:r>
      <w:r>
        <w:t xml:space="preserve"> </w:t>
      </w:r>
      <w:r>
        <w:t xml:space="preserve">Kinome-wide profiling, however, poses a distributional question: how</w:t>
      </w:r>
      <w:r>
        <w:t xml:space="preserve"> </w:t>
      </w:r>
      <w:r>
        <w:t xml:space="preserve">concentrated is a compound’s binding across hundreds of kinases?</w:t>
      </w:r>
      <w:r>
        <w:t xml:space="preserve"> </w:t>
      </w:r>
      <w:r>
        <w:t xml:space="preserve">Entropy and Gini were introduced because ratio measures are ill-suited to it, since</w:t>
      </w:r>
      <w:r>
        <w:t xml:space="preserve"> </w:t>
      </w:r>
      <w:r>
        <w:t xml:space="preserve">they discard all but two points of a 300–500 kinase profile. However, the older</w:t>
      </w:r>
      <w:r>
        <w:t xml:space="preserve"> </w:t>
      </w:r>
      <w:r>
        <w:t xml:space="preserve">pairwise measures were never retired, leaving the field applying pairwise</w:t>
      </w:r>
      <w:r>
        <w:t xml:space="preserve"> </w:t>
      </w:r>
      <w:r>
        <w:t xml:space="preserve">measures to a distributional question without a principled basis for choosing</w:t>
      </w:r>
      <w:r>
        <w:t xml:space="preserve"> </w:t>
      </w:r>
      <w:r>
        <w:t xml:space="preserve">between them.</w:t>
      </w:r>
      <w:r>
        <w:t xml:space="preserve"> </w:t>
      </w:r>
      <w:r>
        <w:t xml:space="preserve">The required properties proposed in the Required Properties section are an</w:t>
      </w:r>
      <w:r>
        <w:t xml:space="preserve"> </w:t>
      </w:r>
      <w:r>
        <w:t xml:space="preserve">attempt to express what it means for a compound to be selective in a way that is</w:t>
      </w:r>
      <w:r>
        <w:t xml:space="preserve"> </w:t>
      </w:r>
      <w:r>
        <w:t xml:space="preserve">precise enough to assess candidate selectivity definitions formally.</w:t>
      </w:r>
    </w:p>
    <w:bookmarkStart w:id="59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consistently. However,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59"/>
    <w:bookmarkStart w:id="60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covers four profiling datasets spanning three assay technologies</w:t>
      </w:r>
      <w:r>
        <w:t xml:space="preserve"> </w:t>
      </w:r>
      <w:r>
        <w:t xml:space="preserve">and two readout types, but these still represent a fraction of the chemical and</w:t>
      </w:r>
      <w:r>
        <w:t xml:space="preserve"> </w:t>
      </w:r>
      <w:r>
        <w:t xml:space="preserve">kinase space relevant to drug discovery.</w:t>
      </w:r>
      <w:r>
        <w:t xml:space="preserve"> </w:t>
      </w:r>
      <w:r>
        <w:t xml:space="preserve">The assay technologies are not directly comparable in absolute terms — the</w:t>
      </w:r>
      <w:r>
        <w:t xml:space="preserve"> </w:t>
      </w:r>
      <w:r>
        <w:t xml:space="preserve">active-compound fractions differ across datasets for both genuine</w:t>
      </w:r>
      <w:r>
        <w:t xml:space="preserve"> </w:t>
      </w:r>
      <w:r>
        <w:t xml:space="preserve">selectivity reasons and assay-specific detection thresholds. As a consequence,</w:t>
      </w:r>
      <w:r>
        <w:t xml:space="preserve"> </w:t>
      </w:r>
      <w:r>
        <w:t xml:space="preserve">our analysis</w:t>
      </w:r>
      <w:r>
        <w:t xml:space="preserve"> </w:t>
      </w:r>
      <w:r>
        <w:t xml:space="preserve">relies on within-dataset rank comparisons rather than cross-dataset absolute</w:t>
      </w:r>
      <w:r>
        <w:t xml:space="preserve"> </w:t>
      </w:r>
      <w:r>
        <w:t xml:space="preserve">scores.</w:t>
      </w:r>
      <w:r>
        <w:t xml:space="preserve"> </w:t>
      </w:r>
      <w:r>
        <w:t xml:space="preserve">The consistency of the two-family structure and the instability predictors</w:t>
      </w:r>
      <w:r>
        <w:t xml:space="preserve"> </w:t>
      </w:r>
      <w:r>
        <w:t xml:space="preserve">across all four datasets indicates that the findings are not artifacts of a</w:t>
      </w:r>
      <w:r>
        <w:t xml:space="preserve"> </w:t>
      </w:r>
      <w:r>
        <w:t xml:space="preserve">single assay platform. However, findings should still be interpreted in light of</w:t>
      </w:r>
      <w:r>
        <w:t xml:space="preserve"> </w:t>
      </w:r>
      <w:r>
        <w:t xml:space="preserve">these technological differences.</w:t>
      </w:r>
    </w:p>
    <w:p>
      <w:pPr>
        <w:pStyle w:val="BodyText"/>
      </w:pPr>
      <w:r>
        <w:t xml:space="preserve">We also examined whether in vitro selectivity predicts clinical toxicity,</w:t>
      </w:r>
      <w:r>
        <w:t xml:space="preserve"> </w:t>
      </w:r>
      <w:r>
        <w:t xml:space="preserve">correlating the selectivity rankings of the FDA-approved Klaeger compounds with</w:t>
      </w:r>
      <w:r>
        <w:t xml:space="preserve"> </w:t>
      </w:r>
      <w:r>
        <w:t xml:space="preserve">FAERS adverse-event rates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) and FDA-label discontinuation rates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).</w:t>
      </w:r>
      <w:r>
        <w:t xml:space="preserve"> </w:t>
      </w:r>
      <w:r>
        <w:t xml:space="preserve">No association was significant under any definition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  <w:r>
        <w:t xml:space="preserve"> </w:t>
      </w:r>
      <w:r>
        <w:t xml:space="preserve">We do not read this as evidence that selectivity and toxicity are unrelated.</w:t>
      </w:r>
      <w:r>
        <w:t xml:space="preserve"> </w:t>
      </w:r>
      <w:r>
        <w:t xml:space="preserve">FAERS counts mostly track how often a drug is prescribed, and how often a drug is</w:t>
      </w:r>
      <w:r>
        <w:t xml:space="preserve"> </w:t>
      </w:r>
      <w:r>
        <w:t xml:space="preserve">withdrawn depends on the patient population treated for each indication, so</w:t>
      </w:r>
      <w:r>
        <w:t xml:space="preserve"> </w:t>
      </w:r>
      <w:r>
        <w:t xml:space="preserve">neither measure can isolate the effect of selectivity.</w:t>
      </w:r>
      <w:r>
        <w:t xml:space="preserve"> </w:t>
      </w:r>
      <w:r>
        <w:t xml:space="preserve">A proper test would require indication-stratified, treatment-related</w:t>
      </w:r>
      <w:r>
        <w:t xml:space="preserve"> </w:t>
      </w:r>
      <w:r>
        <w:t xml:space="preserve">adverse-event rates from controlled trials with matched comparators, which are</w:t>
      </w:r>
      <w:r>
        <w:t xml:space="preserve"> </w:t>
      </w:r>
      <w:r>
        <w:t xml:space="preserve">not available in standardized form across these drugs.</w:t>
      </w:r>
      <w:r>
        <w:t xml:space="preserve"> </w:t>
      </w:r>
      <w:r>
        <w:t xml:space="preserve">Full details are given in the Supporting Information.</w:t>
      </w:r>
    </w:p>
    <w:p>
      <w:pPr>
        <w:pStyle w:val="BodyText"/>
      </w:pPr>
      <w:r>
        <w:t xml:space="preserve">The four properties proposed above are necessary</w:t>
      </w:r>
      <w:r>
        <w:t xml:space="preserve"> </w:t>
      </w:r>
      <w:r>
        <w:t xml:space="preserve">conditions motivated by empirical failure modes.</w:t>
      </w:r>
      <w:r>
        <w:t xml:space="preserve"> </w:t>
      </w:r>
      <w:r>
        <w:t xml:space="preserve">The candidate measure shows that they are jointly satisfiable, but they are not</w:t>
      </w:r>
      <w:r>
        <w:t xml:space="preserve"> </w:t>
      </w:r>
      <w:r>
        <w:t xml:space="preserve">proven to be sufficient to uniquely characterize a selectivity measure, and we do</w:t>
      </w:r>
      <w:r>
        <w:t xml:space="preserve"> </w:t>
      </w:r>
      <w:r>
        <w:t xml:space="preserve">not show that they single out a measure of the candidate’s form.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together with the empirical</w:t>
      </w:r>
      <w:r>
        <w:t xml:space="preserve"> </w:t>
      </w:r>
      <w:r>
        <w:t xml:space="preserve">checks of this study. A formal proof of satisfaction or violation for each</w:t>
      </w:r>
      <w:r>
        <w:t xml:space="preserve"> </w:t>
      </w:r>
      <w:r>
        <w:t xml:space="preserve">property–definition pair is left for future work.</w:t>
      </w:r>
    </w:p>
    <w:bookmarkEnd w:id="60"/>
    <w:bookmarkEnd w:id="61"/>
    <w:bookmarkStart w:id="6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profiles. We also showed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required properties that any well-formed selectivity measure</w:t>
      </w:r>
      <w:r>
        <w:t xml:space="preserve"> </w:t>
      </w:r>
      <w:r>
        <w:t xml:space="preserve">should satisfy: a reliability threshold</w:t>
      </w:r>
      <w:r>
        <w:t xml:space="preserve"> </w:t>
      </w:r>
      <w:r>
        <w:t xml:space="preserve">condition, bounded gap sensitivity, distributional consistency, and monotonicity</w:t>
      </w:r>
      <w:r>
        <w:t xml:space="preserve"> </w:t>
      </w:r>
      <w:r>
        <w:t xml:space="preserve">under weak off-target addition.</w:t>
      </w:r>
      <w:r>
        <w:t xml:space="preserve"> </w:t>
      </w:r>
      <w:r>
        <w:t xml:space="preserve">No existing definition satisfies all four simultaneously, but we show that a</w:t>
      </w:r>
      <w:r>
        <w:t xml:space="preserve"> </w:t>
      </w:r>
      <w:r>
        <w:t xml:space="preserve">gated, smooth-baseline effective-target-number does, and that it recovers its</w:t>
      </w:r>
      <w:r>
        <w:t xml:space="preserve"> </w:t>
      </w:r>
      <w:r>
        <w:t xml:space="preserve">full-panel ranking from roughly half a typical panel.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binding above the detection threshold as unreliable.</w:t>
      </w:r>
      <w:r>
        <w:t xml:space="preserve"> </w:t>
      </w:r>
      <w:r>
        <w:t xml:space="preserve">The longer-term implication is that the field needs a principled basis for</w:t>
      </w:r>
      <w:r>
        <w:t xml:space="preserve"> </w:t>
      </w:r>
      <w:r>
        <w:t xml:space="preserve">choosing among selectivity definitions rather than applying them</w:t>
      </w:r>
      <w:r>
        <w:t xml:space="preserve"> </w:t>
      </w:r>
      <w:r>
        <w:t xml:space="preserve">interchangeably.</w:t>
      </w:r>
      <w:r>
        <w:t xml:space="preserve"> </w:t>
      </w:r>
      <w:r>
        <w:t xml:space="preserve">Establishing whether these four properties characterize a selectivity measure</w:t>
      </w:r>
      <w:r>
        <w:t xml:space="preserve"> </w:t>
      </w:r>
      <w:r>
        <w:t xml:space="preserve">uniquely, as Shannon’s axioms do for entropy, is the natural next step.</w:t>
      </w:r>
    </w:p>
    <w:p>
      <w:pPr>
        <w:pStyle w:val="BodyText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required properties proposed in the</w:t>
      </w:r>
      <w:r>
        <w:t xml:space="preserve"> </w:t>
      </w:r>
      <w:r>
        <w:t xml:space="preserve">Required Properties section, and the final manuscript content were developed, verified, and</w:t>
      </w:r>
      <w:r>
        <w:t xml:space="preserve"> </w:t>
      </w:r>
      <w:r>
        <w:t xml:space="preserve">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p>
      <w:pPr>
        <w:pStyle w:val="BodyText"/>
      </w:pPr>
      <w:r>
        <w:t xml:space="preserve">Figure S1: operationalization-sensitivity check comparing the entropy and Gini</w:t>
      </w:r>
      <w:r>
        <w:t xml:space="preserve"> </w:t>
      </w:r>
      <w:r>
        <w:t xml:space="preserve">rankings computed in forms close to the original publications</w:t>
      </w:r>
      <w:r>
        <w:t xml:space="preserve"> </w:t>
      </w:r>
      <w:r>
        <w:t xml:space="preserve">(association-constant weighting) with the baseline-subtracted log-affinity forms</w:t>
      </w:r>
      <w:r>
        <w:t xml:space="preserve"> </w:t>
      </w:r>
      <w:r>
        <w:t xml:space="preserve">used in the main text.</w:t>
      </w:r>
      <w:r>
        <w:t xml:space="preserve"> </w:t>
      </w:r>
      <w:r>
        <w:t xml:space="preserve">Clinical outcome analysis: methods and full results of the secondary analysis</w:t>
      </w:r>
      <w:r>
        <w:t xml:space="preserve"> </w:t>
      </w:r>
      <w:r>
        <w:t xml:space="preserve">relating selectivity rankings to FAERS adverse-event report rates and FDA-label</w:t>
      </w:r>
      <w:r>
        <w:t xml:space="preserve"> </w:t>
      </w:r>
      <w:r>
        <w:t xml:space="preserve">discontinuation rates for the FDA-approved Klaeger compounds, including the</w:t>
      </w:r>
      <w:r>
        <w:t xml:space="preserve"> </w:t>
      </w:r>
      <w:r>
        <w:t xml:space="preserve">per-definition correlations and the openFDA queries used.</w:t>
      </w:r>
      <w:r>
        <w:t xml:space="preserve"> </w:t>
      </w:r>
      <w:r>
        <w:t xml:space="preserve">A preprint of this manuscript is available on ChemRxiv at</w:t>
      </w:r>
      <w:r>
        <w:t xml:space="preserve"> </w:t>
      </w:r>
      <w:hyperlink r:id="rId62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63"/>
    <w:bookmarkStart w:id="69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64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65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The Anastassiadis et al. (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2011) and Metz et al. (</w:t>
      </w:r>
      <w:r>
        <w:rPr>
          <w:i/>
          <w:iCs/>
        </w:rPr>
        <w:t xml:space="preserve">Nat. Chem. Biol.</w:t>
      </w:r>
      <w:r>
        <w:t xml:space="preserve"> </w:t>
      </w:r>
      <w:r>
        <w:t xml:space="preserve">2011) datasets are available as supplementary data to</w:t>
      </w:r>
      <w:r>
        <w:t xml:space="preserve"> </w:t>
      </w:r>
      <w:r>
        <w:t xml:space="preserve">their original publications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https://doi.org/10.1038/nbt.2017</w:t>
        </w:r>
      </w:hyperlink>
      <w:r>
        <w:t xml:space="preserve">;</w:t>
      </w:r>
      <w:r>
        <w:t xml:space="preserve"> </w:t>
      </w:r>
      <w:hyperlink r:id="rId67">
        <w:r>
          <w:rPr>
            <w:rStyle w:val="Hyperlink"/>
          </w:rPr>
          <w:t xml:space="preserve">https://doi.org/10.1038/nchembio.530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68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End w:id="69"/>
    <w:bookmarkStart w:id="70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70"/>
    <w:bookmarkStart w:id="115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Start w:id="114" w:name="refs"/>
    <w:bookmarkStart w:id="71" w:name="ref-Anastassiadis2011"/>
    <w:p>
      <w:pPr>
        <w:pStyle w:val="Bibliography"/>
      </w:pPr>
      <w:r>
        <w:t xml:space="preserve">Anastassiadis, Theonie, Sean W. Deacon, Karthik Devarajan, Haiching Ma, and Jeffrey R. Peterson. 2011.</w:t>
      </w:r>
      <w:r>
        <w:t xml:space="preserve"> </w:t>
      </w:r>
      <w:r>
        <w:t xml:space="preserve">“Comprehensive Assay of Kinase Catalytic Activity Reveals Features of Kinase Inhibitor Selectivity.”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 1039–45.</w:t>
      </w:r>
      <w:r>
        <w:t xml:space="preserve"> </w:t>
      </w:r>
      <w:hyperlink r:id="rId66">
        <w:r>
          <w:rPr>
            <w:rStyle w:val="Hyperlink"/>
          </w:rPr>
          <w:t xml:space="preserve">https://doi.org/10.1038/nbt.2017</w:t>
        </w:r>
      </w:hyperlink>
      <w:r>
        <w:t xml:space="preserve">.</w:t>
      </w:r>
    </w:p>
    <w:bookmarkEnd w:id="71"/>
    <w:bookmarkStart w:id="72" w:name="ref-Arrow1951"/>
    <w:p>
      <w:pPr>
        <w:pStyle w:val="Bibliography"/>
      </w:pPr>
      <w:r>
        <w:t xml:space="preserve">Arrow, Kenneth J. 1951.</w:t>
      </w:r>
      <w:r>
        <w:t xml:space="preserve"> </w:t>
      </w:r>
      <w:r>
        <w:rPr>
          <w:i/>
          <w:iCs/>
        </w:rPr>
        <w:t xml:space="preserve">Social Choice and Individual Values</w:t>
      </w:r>
      <w:r>
        <w:t xml:space="preserve">. Wiley.</w:t>
      </w:r>
    </w:p>
    <w:bookmarkEnd w:id="72"/>
    <w:bookmarkStart w:id="74" w:name="ref-KInhibition2018"/>
    <w:p>
      <w:pPr>
        <w:pStyle w:val="Bibliography"/>
      </w:pPr>
      <w:r>
        <w:t xml:space="preserve">Bello, Thomas, and Taranjit S. Gujral. 2018.</w:t>
      </w:r>
      <w:r>
        <w:t xml:space="preserve"> </w:t>
      </w:r>
      <w:r>
        <w:t xml:space="preserve">“</w:t>
      </w:r>
      <w:r>
        <w:t xml:space="preserve">KInhibition</w:t>
      </w:r>
      <w:r>
        <w:t xml:space="preserve">: A Kinase Inhibitor Selection Portal.”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t xml:space="preserve">8: 49–53.</w:t>
      </w:r>
      <w:r>
        <w:t xml:space="preserve"> </w:t>
      </w:r>
      <w:hyperlink r:id="rId73">
        <w:r>
          <w:rPr>
            <w:rStyle w:val="Hyperlink"/>
          </w:rPr>
          <w:t xml:space="preserve">https://doi.org/10.1016/j.isci.2018.09.009</w:t>
        </w:r>
      </w:hyperlink>
      <w:r>
        <w:t xml:space="preserve">.</w:t>
      </w:r>
    </w:p>
    <w:bookmarkEnd w:id="74"/>
    <w:bookmarkStart w:id="76" w:name="ref-Bhullar2018"/>
    <w:p>
      <w:pPr>
        <w:pStyle w:val="Bibliography"/>
      </w:pPr>
      <w:r>
        <w:t xml:space="preserve">Bhullar, Khushwant S., Naiara Orrego Lagarón, Eileen M. McGowan, et al. 2018.</w:t>
      </w:r>
      <w:r>
        <w:t xml:space="preserve"> </w:t>
      </w:r>
      <w:r>
        <w:t xml:space="preserve">“Kinase-Targeted Cancer Therapies: Progress, Challenges and Future Directions.”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t xml:space="preserve">17: 48.</w:t>
      </w:r>
      <w:r>
        <w:t xml:space="preserve"> </w:t>
      </w:r>
      <w:hyperlink r:id="rId75">
        <w:r>
          <w:rPr>
            <w:rStyle w:val="Hyperlink"/>
          </w:rPr>
          <w:t xml:space="preserve">https://doi.org/10.1186/s12943-018-0804-2</w:t>
        </w:r>
      </w:hyperlink>
      <w:r>
        <w:t xml:space="preserve">.</w:t>
      </w:r>
    </w:p>
    <w:bookmarkEnd w:id="76"/>
    <w:bookmarkStart w:id="78" w:name="ref-Bosc2017"/>
    <w:p>
      <w:pPr>
        <w:pStyle w:val="Bibliography"/>
      </w:pPr>
      <w:r>
        <w:t xml:space="preserve">Bosc, Nicolas, Christophe Meyer, and Pascal Bonnet. 2017.</w:t>
      </w:r>
      <w:r>
        <w:t xml:space="preserve"> </w:t>
      </w:r>
      <w:r>
        <w:t xml:space="preserve">“The Use of Novel Selectivity Metrics in Kinase Research.”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18: 17.</w:t>
      </w:r>
      <w:r>
        <w:t xml:space="preserve"> </w:t>
      </w:r>
      <w:hyperlink r:id="rId77">
        <w:r>
          <w:rPr>
            <w:rStyle w:val="Hyperlink"/>
          </w:rPr>
          <w:t xml:space="preserve">https://doi.org/10.1186/s12859-016-1413-y</w:t>
        </w:r>
      </w:hyperlink>
      <w:r>
        <w:t xml:space="preserve">.</w:t>
      </w:r>
    </w:p>
    <w:bookmarkEnd w:id="78"/>
    <w:bookmarkStart w:id="80" w:name="ref-Davis2011"/>
    <w:p>
      <w:pPr>
        <w:pStyle w:val="Bibliography"/>
      </w:pPr>
      <w:r>
        <w:t xml:space="preserve">Davis, Mindy I., Jeremy P. Hunt, Sanna Herrgard, et al.</w:t>
      </w:r>
      <w:r>
        <w:t xml:space="preserve"> 2011.</w:t>
      </w:r>
      <w:r>
        <w:t xml:space="preserve"> </w:t>
      </w:r>
      <w:r>
        <w:t xml:space="preserve">“Comprehensive Analysis of Kinase Inhibitor Selectivity.”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 1046–51.</w:t>
      </w:r>
      <w:r>
        <w:t xml:space="preserve"> </w:t>
      </w:r>
      <w:hyperlink r:id="rId79">
        <w:r>
          <w:rPr>
            <w:rStyle w:val="Hyperlink"/>
          </w:rPr>
          <w:t xml:space="preserve">https://doi.org/10.1038/nbt.1990</w:t>
        </w:r>
      </w:hyperlink>
      <w:r>
        <w:t xml:space="preserve">.</w:t>
      </w:r>
    </w:p>
    <w:bookmarkEnd w:id="80"/>
    <w:bookmarkStart w:id="82" w:name="ref-Gao2013"/>
    <w:p>
      <w:pPr>
        <w:pStyle w:val="Bibliography"/>
      </w:pPr>
      <w:r>
        <w:t xml:space="preserve">Gao, Yinghong, Stephen P. Davies, Martin Augustin, et al. 2013.</w:t>
      </w:r>
      <w:r>
        <w:t xml:space="preserve"> </w:t>
      </w:r>
      <w:r>
        <w:t xml:space="preserve">“A Broad Activity Screen in Support of a Chemogenomic Map for Kinase Signalling Research and Drug Discovery.”</w:t>
      </w:r>
      <w:r>
        <w:t xml:space="preserve"> </w:t>
      </w:r>
      <w:r>
        <w:rPr>
          <w:i/>
          <w:iCs/>
        </w:rPr>
        <w:t xml:space="preserve">Biochem. J.</w:t>
      </w:r>
      <w:r>
        <w:t xml:space="preserve"> </w:t>
      </w:r>
      <w:r>
        <w:t xml:space="preserve">451: 313–28.</w:t>
      </w:r>
      <w:r>
        <w:t xml:space="preserve"> </w:t>
      </w:r>
      <w:hyperlink r:id="rId81">
        <w:r>
          <w:rPr>
            <w:rStyle w:val="Hyperlink"/>
          </w:rPr>
          <w:t xml:space="preserve">https://doi.org/10.1042/BJ20121418</w:t>
        </w:r>
      </w:hyperlink>
      <w:r>
        <w:t xml:space="preserve">.</w:t>
      </w:r>
    </w:p>
    <w:bookmarkEnd w:id="82"/>
    <w:bookmarkStart w:id="84" w:name="ref-Graczyk2010"/>
    <w:p>
      <w:pPr>
        <w:pStyle w:val="Bibliography"/>
      </w:pPr>
      <w:r>
        <w:t xml:space="preserve">Graczyk, Piotr P. 2007.</w:t>
      </w:r>
      <w:r>
        <w:t xml:space="preserve"> </w:t>
      </w:r>
      <w:r>
        <w:t xml:space="preserve">“Gini Coefficient: A New Way to Express Selectivity of Kinase Inhibitors Against a Family of Kinases.”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t xml:space="preserve">50: 5773–79.</w:t>
      </w:r>
      <w:r>
        <w:t xml:space="preserve"> </w:t>
      </w:r>
      <w:hyperlink r:id="rId83">
        <w:r>
          <w:rPr>
            <w:rStyle w:val="Hyperlink"/>
          </w:rPr>
          <w:t xml:space="preserve">https://doi.org/10.1021/jm070562u</w:t>
        </w:r>
      </w:hyperlink>
      <w:r>
        <w:t xml:space="preserve">.</w:t>
      </w:r>
    </w:p>
    <w:bookmarkEnd w:id="84"/>
    <w:bookmarkStart w:id="86" w:name="ref-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85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86"/>
    <w:bookmarkStart w:id="88" w:name="ref-Karaman2008"/>
    <w:p>
      <w:pPr>
        <w:pStyle w:val="Bibliography"/>
      </w:pPr>
      <w:r>
        <w:t xml:space="preserve">Karaman, Mazen W., Sanna Herrgard, Daniel K. Treiber, et al.</w:t>
      </w:r>
      <w:r>
        <w:t xml:space="preserve"> 2008.</w:t>
      </w:r>
      <w:r>
        <w:t xml:space="preserve"> </w:t>
      </w:r>
      <w:r>
        <w:t xml:space="preserve">“A Quantitative Analysis of Kinase Inhibitor Selectivity.”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26: 127–32.</w:t>
      </w:r>
      <w:r>
        <w:t xml:space="preserve"> </w:t>
      </w:r>
      <w:hyperlink r:id="rId87">
        <w:r>
          <w:rPr>
            <w:rStyle w:val="Hyperlink"/>
          </w:rPr>
          <w:t xml:space="preserve">https://doi.org/10.1038/nbt1358</w:t>
        </w:r>
      </w:hyperlink>
      <w:r>
        <w:t xml:space="preserve">.</w:t>
      </w:r>
    </w:p>
    <w:bookmarkEnd w:id="88"/>
    <w:bookmarkStart w:id="89" w:name="ref-Khinchin1957"/>
    <w:p>
      <w:pPr>
        <w:pStyle w:val="Bibliography"/>
      </w:pPr>
      <w:r>
        <w:t xml:space="preserve">Khinchin, Aleksandr Ya. 1957.</w:t>
      </w:r>
      <w:r>
        <w:t xml:space="preserve"> </w:t>
      </w:r>
      <w:r>
        <w:rPr>
          <w:i/>
          <w:iCs/>
        </w:rPr>
        <w:t xml:space="preserve">Mathematical Foundations of Information Theory</w:t>
      </w:r>
      <w:r>
        <w:t xml:space="preserve">. Dover.</w:t>
      </w:r>
    </w:p>
    <w:bookmarkEnd w:id="89"/>
    <w:bookmarkStart w:id="90" w:name="ref-Klaeger2017"/>
    <w:p>
      <w:pPr>
        <w:pStyle w:val="Bibliography"/>
      </w:pPr>
      <w:r>
        <w:t xml:space="preserve">Klaeger, Susan, Stephanie Heinzlmeir, Mathias Wilhelm, et al.</w:t>
      </w:r>
      <w:r>
        <w:t xml:space="preserve"> 2017.</w:t>
      </w:r>
      <w:r>
        <w:t xml:space="preserve"> </w:t>
      </w:r>
      <w:r>
        <w:t xml:space="preserve">“The Target Landscape of Clinical Kinase Drugs.”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358: eaan4368.</w:t>
      </w:r>
      <w:r>
        <w:t xml:space="preserve"> </w:t>
      </w:r>
      <w:hyperlink r:id="rId65">
        <w:r>
          <w:rPr>
            <w:rStyle w:val="Hyperlink"/>
          </w:rPr>
          <w:t xml:space="preserve">https://doi.org/10.1126/science.aan4368</w:t>
        </w:r>
      </w:hyperlink>
      <w:r>
        <w:t xml:space="preserve">.</w:t>
      </w:r>
    </w:p>
    <w:bookmarkEnd w:id="90"/>
    <w:bookmarkStart w:id="92" w:name="ref-Manning2002"/>
    <w:p>
      <w:pPr>
        <w:pStyle w:val="Bibliography"/>
      </w:pPr>
      <w:r>
        <w:t xml:space="preserve">Manning, Gerard, David B. Whyte, Ricardo Martinez, Tony Hunter, and Sucha Sudarsanam. 2002.</w:t>
      </w:r>
      <w:r>
        <w:t xml:space="preserve"> </w:t>
      </w:r>
      <w:r>
        <w:t xml:space="preserve">“The Protein Kinase Complement of the Human Genome.”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298: 1912–34.</w:t>
      </w:r>
      <w:r>
        <w:t xml:space="preserve"> </w:t>
      </w:r>
      <w:hyperlink r:id="rId91">
        <w:r>
          <w:rPr>
            <w:rStyle w:val="Hyperlink"/>
          </w:rPr>
          <w:t xml:space="preserve">https://doi.org/10.1126/science.1075762</w:t>
        </w:r>
      </w:hyperlink>
      <w:r>
        <w:t xml:space="preserve">.</w:t>
      </w:r>
    </w:p>
    <w:bookmarkEnd w:id="92"/>
    <w:bookmarkStart w:id="94" w:name="ref-pandas"/>
    <w:p>
      <w:pPr>
        <w:pStyle w:val="Bibliography"/>
      </w:pPr>
      <w:r>
        <w:t xml:space="preserve">McKinney, Wes. 2010.</w:t>
      </w:r>
      <w:r>
        <w:t xml:space="preserve"> </w:t>
      </w:r>
      <w:r>
        <w:t xml:space="preserve">“Data Structures for Statistical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9th Python in Science Conference</w:t>
      </w:r>
      <w:r>
        <w:t xml:space="preserve">, 56–61.</w:t>
      </w:r>
      <w:r>
        <w:t xml:space="preserve"> </w:t>
      </w:r>
      <w:hyperlink r:id="rId93">
        <w:r>
          <w:rPr>
            <w:rStyle w:val="Hyperlink"/>
          </w:rPr>
          <w:t xml:space="preserve">https://doi.org/10.25080/Majora-92bf1922-00a</w:t>
        </w:r>
      </w:hyperlink>
      <w:r>
        <w:t xml:space="preserve">.</w:t>
      </w:r>
    </w:p>
    <w:bookmarkEnd w:id="94"/>
    <w:bookmarkStart w:id="95" w:name="ref-Metz2011"/>
    <w:p>
      <w:pPr>
        <w:pStyle w:val="Bibliography"/>
      </w:pPr>
      <w:r>
        <w:t xml:space="preserve">Metz, James T., Eric F. Johnson, Niru B. Soni, Philip J. Merta, Lemma Kifle, and Philip J. Hajduk. 2011.</w:t>
      </w:r>
      <w:r>
        <w:t xml:space="preserve"> </w:t>
      </w:r>
      <w:r>
        <w:t xml:space="preserve">“Navigating the Kinome.”</w:t>
      </w:r>
      <w:r>
        <w:t xml:space="preserve"> </w:t>
      </w:r>
      <w:r>
        <w:rPr>
          <w:i/>
          <w:iCs/>
        </w:rPr>
        <w:t xml:space="preserve">Nat. Chem. Biol.</w:t>
      </w:r>
      <w:r>
        <w:t xml:space="preserve"> </w:t>
      </w:r>
      <w:r>
        <w:t xml:space="preserve">7: 200–202.</w:t>
      </w:r>
      <w:r>
        <w:t xml:space="preserve"> </w:t>
      </w:r>
      <w:hyperlink r:id="rId67">
        <w:r>
          <w:rPr>
            <w:rStyle w:val="Hyperlink"/>
          </w:rPr>
          <w:t xml:space="preserve">https://doi.org/10.1038/nchembio.530</w:t>
        </w:r>
      </w:hyperlink>
      <w:r>
        <w:t xml:space="preserve">.</w:t>
      </w:r>
    </w:p>
    <w:bookmarkEnd w:id="95"/>
    <w:bookmarkStart w:id="97" w:name="ref-Bajorath2018"/>
    <w:p>
      <w:pPr>
        <w:pStyle w:val="Bibliography"/>
      </w:pPr>
      <w:r>
        <w:t xml:space="preserve">Miljkovic, Filip, and Jürgen Bajorath. 2018.</w:t>
      </w:r>
      <w:r>
        <w:t xml:space="preserve"> </w:t>
      </w:r>
      <w:r>
        <w:t xml:space="preserve">“Reconciling Selectivity Trends from a Comprehensive Kinase Inhibitor Profiling Campaign with Known Activity Data.”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3: 17196–206.</w:t>
      </w:r>
      <w:r>
        <w:t xml:space="preserve"> </w:t>
      </w:r>
      <w:hyperlink r:id="rId96">
        <w:r>
          <w:rPr>
            <w:rStyle w:val="Hyperlink"/>
          </w:rPr>
          <w:t xml:space="preserve">https://doi.org/10.1021/acsomega.8b00243</w:t>
        </w:r>
      </w:hyperlink>
      <w:r>
        <w:t xml:space="preserve">.</w:t>
      </w:r>
    </w:p>
    <w:bookmarkEnd w:id="97"/>
    <w:bookmarkStart w:id="99" w:name="ref-DeepDTA"/>
    <w:p>
      <w:pPr>
        <w:pStyle w:val="Bibliography"/>
      </w:pPr>
      <w:r>
        <w:t xml:space="preserve">Öztürk, Hakime, Arzucan Özgür, and Elif Ozkirimli. 2018.</w:t>
      </w:r>
      <w:r>
        <w:t xml:space="preserve"> </w:t>
      </w:r>
      <w:r>
        <w:t xml:space="preserve">“</w:t>
      </w:r>
      <w:r>
        <w:t xml:space="preserve">DeepDTA</w:t>
      </w:r>
      <w:r>
        <w:t xml:space="preserve">: Deep Drug–Target Binding Affinity Prediction.”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34: i821–29.</w:t>
      </w:r>
      <w:r>
        <w:t xml:space="preserve"> </w:t>
      </w:r>
      <w:hyperlink r:id="rId98">
        <w:r>
          <w:rPr>
            <w:rStyle w:val="Hyperlink"/>
          </w:rPr>
          <w:t xml:space="preserve">https://doi.org/10.1093/bioinformatics/bty593</w:t>
        </w:r>
      </w:hyperlink>
      <w:r>
        <w:t xml:space="preserve">.</w:t>
      </w:r>
    </w:p>
    <w:bookmarkEnd w:id="99"/>
    <w:bookmarkStart w:id="101" w:name="ref-Patricelli2011"/>
    <w:p>
      <w:pPr>
        <w:pStyle w:val="Bibliography"/>
      </w:pPr>
      <w:r>
        <w:t xml:space="preserve">Patricelli, Matthew P., Tyzoon K. Nomanbhoy, Jiangyue Wu, et al. 2011.</w:t>
      </w:r>
      <w:r>
        <w:t xml:space="preserve"> </w:t>
      </w:r>
      <w:r>
        <w:t xml:space="preserve">“In Situ Kinase Profiling Reveals Functionally Relevant Properties of Native Kinases.”</w:t>
      </w:r>
      <w:r>
        <w:t xml:space="preserve"> </w:t>
      </w:r>
      <w:r>
        <w:rPr>
          <w:i/>
          <w:iCs/>
        </w:rPr>
        <w:t xml:space="preserve">Chem. Biol.</w:t>
      </w:r>
      <w:r>
        <w:t xml:space="preserve"> </w:t>
      </w:r>
      <w:r>
        <w:t xml:space="preserve">18: 699–710.</w:t>
      </w:r>
      <w:r>
        <w:t xml:space="preserve"> </w:t>
      </w:r>
      <w:hyperlink r:id="rId100">
        <w:r>
          <w:rPr>
            <w:rStyle w:val="Hyperlink"/>
          </w:rPr>
          <w:t xml:space="preserve">https://doi.org/10.1016/j.chembiol.2011.04.011</w:t>
        </w:r>
      </w:hyperlink>
      <w:r>
        <w:t xml:space="preserve">.</w:t>
      </w:r>
    </w:p>
    <w:bookmarkEnd w:id="101"/>
    <w:bookmarkStart w:id="103" w:name="ref-Roskoski2024"/>
    <w:p>
      <w:pPr>
        <w:pStyle w:val="Bibliography"/>
      </w:pPr>
      <w:r>
        <w:t xml:space="preserve">Roskoski, Robert. 2024.</w:t>
      </w:r>
      <w:r>
        <w:t xml:space="preserve"> </w:t>
      </w:r>
      <w:r>
        <w:t xml:space="preserve">“Properties of</w:t>
      </w:r>
      <w:r>
        <w:t xml:space="preserve"> </w:t>
      </w:r>
      <w:r>
        <w:t xml:space="preserve">FDA</w:t>
      </w:r>
      <w:r>
        <w:t xml:space="preserve">-Approved Small Molecule Protein Kinase Inhibitors: A 2024 Update.”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t xml:space="preserve">200: 107059.</w:t>
      </w:r>
      <w:r>
        <w:t xml:space="preserve"> </w:t>
      </w:r>
      <w:hyperlink r:id="rId102">
        <w:r>
          <w:rPr>
            <w:rStyle w:val="Hyperlink"/>
          </w:rPr>
          <w:t xml:space="preserve">https://doi.org/10.1016/j.phrs.2024.107059</w:t>
        </w:r>
      </w:hyperlink>
      <w:r>
        <w:t xml:space="preserve">.</w:t>
      </w:r>
    </w:p>
    <w:bookmarkEnd w:id="103"/>
    <w:bookmarkStart w:id="105" w:name="ref-Shannon1948"/>
    <w:p>
      <w:pPr>
        <w:pStyle w:val="Bibliography"/>
      </w:pPr>
      <w:r>
        <w:t xml:space="preserve">Shannon, Claude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t xml:space="preserve">27: 379–423.</w:t>
      </w:r>
      <w:r>
        <w:t xml:space="preserve"> </w:t>
      </w:r>
      <w:hyperlink r:id="rId104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105"/>
    <w:bookmarkStart w:id="107" w:name="ref-Singleton2022"/>
    <w:p>
      <w:pPr>
        <w:pStyle w:val="Bibliography"/>
      </w:pPr>
      <w:r>
        <w:t xml:space="preserve">Singleton, Joseph, and Richard Booth. 2022.</w:t>
      </w:r>
      <w:r>
        <w:t xml:space="preserve"> </w:t>
      </w:r>
      <w:r>
        <w:t xml:space="preserve">“Towards an Axiomatic Approach to Truth Discovery.”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t xml:space="preserve">36: 43.</w:t>
      </w:r>
      <w:r>
        <w:t xml:space="preserve"> </w:t>
      </w:r>
      <w:hyperlink r:id="rId106">
        <w:r>
          <w:rPr>
            <w:rStyle w:val="Hyperlink"/>
          </w:rPr>
          <w:t xml:space="preserve">https://doi.org/10.1007/s10458-022-09569-3</w:t>
        </w:r>
      </w:hyperlink>
      <w:r>
        <w:t xml:space="preserve">.</w:t>
      </w:r>
    </w:p>
    <w:bookmarkEnd w:id="107"/>
    <w:bookmarkStart w:id="109" w:name="ref-Uitdehaag2011"/>
    <w:p>
      <w:pPr>
        <w:pStyle w:val="Bibliography"/>
      </w:pPr>
      <w:r>
        <w:t xml:space="preserve">Uitdehaag, Joost C. M., and Gerard J. R. Zaman. 2011.</w:t>
      </w:r>
      <w:r>
        <w:t xml:space="preserve"> </w:t>
      </w:r>
      <w:r>
        <w:t xml:space="preserve">“A Theoretical Entropy Score as a Single Value to Express Inhibitor Selectivity.”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12: 94.</w:t>
      </w:r>
      <w:r>
        <w:t xml:space="preserve"> </w:t>
      </w:r>
      <w:hyperlink r:id="rId108">
        <w:r>
          <w:rPr>
            <w:rStyle w:val="Hyperlink"/>
          </w:rPr>
          <w:t xml:space="preserve">https://doi.org/10.1186/1471-2105-12-94</w:t>
        </w:r>
      </w:hyperlink>
      <w:r>
        <w:t xml:space="preserve">.</w:t>
      </w:r>
    </w:p>
    <w:bookmarkEnd w:id="109"/>
    <w:bookmarkStart w:id="111" w:name="ref-IUPAC2001"/>
    <w:p>
      <w:pPr>
        <w:pStyle w:val="Bibliography"/>
      </w:pPr>
      <w:r>
        <w:t xml:space="preserve">Vessman, Jörgen, Raluca I. Stefan, Jacobus F. van Staden, et al.</w:t>
      </w:r>
      <w:r>
        <w:t xml:space="preserve"> 2001.</w:t>
      </w:r>
      <w:r>
        <w:t xml:space="preserve"> </w:t>
      </w:r>
      <w:r>
        <w:t xml:space="preserve">“Selectivity in Analytical Chemistry.”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t xml:space="preserve">73: 1381–86.</w:t>
      </w:r>
      <w:r>
        <w:t xml:space="preserve"> </w:t>
      </w:r>
      <w:hyperlink r:id="rId110">
        <w:r>
          <w:rPr>
            <w:rStyle w:val="Hyperlink"/>
          </w:rPr>
          <w:t xml:space="preserve">https://doi.org/10.1351/pac200173081381</w:t>
        </w:r>
      </w:hyperlink>
      <w:r>
        <w:t xml:space="preserve">.</w:t>
      </w:r>
    </w:p>
    <w:bookmarkEnd w:id="111"/>
    <w:bookmarkStart w:id="113" w:name="ref-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t xml:space="preserve">17: 261–72.</w:t>
      </w:r>
      <w:r>
        <w:t xml:space="preserve"> </w:t>
      </w:r>
      <w:hyperlink r:id="rId112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hyperlink" Id="rId104" Target="https://doi.org/10.1002/j.1538-7305.1948.tb01338.x" TargetMode="External" /><Relationship Type="http://schemas.openxmlformats.org/officeDocument/2006/relationships/hyperlink" Id="rId106" Target="https://doi.org/10.1007/s10458-022-09569-3" TargetMode="External" /><Relationship Type="http://schemas.openxmlformats.org/officeDocument/2006/relationships/hyperlink" Id="rId100" Target="https://doi.org/10.1016/j.chembiol.2011.04.011" TargetMode="External" /><Relationship Type="http://schemas.openxmlformats.org/officeDocument/2006/relationships/hyperlink" Id="rId73" Target="https://doi.org/10.1016/j.isci.2018.09.009" TargetMode="External" /><Relationship Type="http://schemas.openxmlformats.org/officeDocument/2006/relationships/hyperlink" Id="rId102" Target="https://doi.org/10.1016/j.phrs.2024.107059" TargetMode="External" /><Relationship Type="http://schemas.openxmlformats.org/officeDocument/2006/relationships/hyperlink" Id="rId96" Target="https://doi.org/10.1021/acsomega.8b00243" TargetMode="External" /><Relationship Type="http://schemas.openxmlformats.org/officeDocument/2006/relationships/hyperlink" Id="rId83" Target="https://doi.org/10.1021/jm070562u" TargetMode="External" /><Relationship Type="http://schemas.openxmlformats.org/officeDocument/2006/relationships/hyperlink" Id="rId79" Target="https://doi.org/10.1038/nbt.1990" TargetMode="External" /><Relationship Type="http://schemas.openxmlformats.org/officeDocument/2006/relationships/hyperlink" Id="rId66" Target="https://doi.org/10.1038/nbt.2017" TargetMode="External" /><Relationship Type="http://schemas.openxmlformats.org/officeDocument/2006/relationships/hyperlink" Id="rId87" Target="https://doi.org/10.1038/nbt1358" TargetMode="External" /><Relationship Type="http://schemas.openxmlformats.org/officeDocument/2006/relationships/hyperlink" Id="rId67" Target="https://doi.org/10.1038/nchembio.530" TargetMode="External" /><Relationship Type="http://schemas.openxmlformats.org/officeDocument/2006/relationships/hyperlink" Id="rId85" Target="https://doi.org/10.1038/s41586-020-2649-2" TargetMode="External" /><Relationship Type="http://schemas.openxmlformats.org/officeDocument/2006/relationships/hyperlink" Id="rId112" Target="https://doi.org/10.1038/s41592-019-0686-2" TargetMode="External" /><Relationship Type="http://schemas.openxmlformats.org/officeDocument/2006/relationships/hyperlink" Id="rId81" Target="https://doi.org/10.1042/BJ20121418" TargetMode="External" /><Relationship Type="http://schemas.openxmlformats.org/officeDocument/2006/relationships/hyperlink" Id="rId98" Target="https://doi.org/10.1093/bioinformatics/bty593" TargetMode="External" /><Relationship Type="http://schemas.openxmlformats.org/officeDocument/2006/relationships/hyperlink" Id="rId91" Target="https://doi.org/10.1126/science.1075762" TargetMode="External" /><Relationship Type="http://schemas.openxmlformats.org/officeDocument/2006/relationships/hyperlink" Id="rId65" Target="https://doi.org/10.1126/science.aan4368" TargetMode="External" /><Relationship Type="http://schemas.openxmlformats.org/officeDocument/2006/relationships/hyperlink" Id="rId108" Target="https://doi.org/10.1186/1471-2105-12-94" TargetMode="External" /><Relationship Type="http://schemas.openxmlformats.org/officeDocument/2006/relationships/hyperlink" Id="rId77" Target="https://doi.org/10.1186/s12859-016-1413-y" TargetMode="External" /><Relationship Type="http://schemas.openxmlformats.org/officeDocument/2006/relationships/hyperlink" Id="rId75" Target="https://doi.org/10.1186/s12943-018-0804-2" TargetMode="External" /><Relationship Type="http://schemas.openxmlformats.org/officeDocument/2006/relationships/hyperlink" Id="rId110" Target="https://doi.org/10.1351/pac200173081381" TargetMode="External" /><Relationship Type="http://schemas.openxmlformats.org/officeDocument/2006/relationships/hyperlink" Id="rId93" Target="https://doi.org/10.25080/Majora-92bf1922-00a" TargetMode="External" /><Relationship Type="http://schemas.openxmlformats.org/officeDocument/2006/relationships/hyperlink" Id="rId62" Target="https://doi.org/10.26434/chemrxiv.15001618/v1" TargetMode="External" /><Relationship Type="http://schemas.openxmlformats.org/officeDocument/2006/relationships/hyperlink" Id="rId64" Target="https://github.com/dingyan20/Davis-Dataset-for-DTA-Prediction" TargetMode="External" /><Relationship Type="http://schemas.openxmlformats.org/officeDocument/2006/relationships/hyperlink" Id="rId68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oi.org/10.1002/j.1538-7305.1948.tb01338.x" TargetMode="External" /><Relationship Type="http://schemas.openxmlformats.org/officeDocument/2006/relationships/hyperlink" Id="rId106" Target="https://doi.org/10.1007/s10458-022-09569-3" TargetMode="External" /><Relationship Type="http://schemas.openxmlformats.org/officeDocument/2006/relationships/hyperlink" Id="rId100" Target="https://doi.org/10.1016/j.chembiol.2011.04.011" TargetMode="External" /><Relationship Type="http://schemas.openxmlformats.org/officeDocument/2006/relationships/hyperlink" Id="rId73" Target="https://doi.org/10.1016/j.isci.2018.09.009" TargetMode="External" /><Relationship Type="http://schemas.openxmlformats.org/officeDocument/2006/relationships/hyperlink" Id="rId102" Target="https://doi.org/10.1016/j.phrs.2024.107059" TargetMode="External" /><Relationship Type="http://schemas.openxmlformats.org/officeDocument/2006/relationships/hyperlink" Id="rId96" Target="https://doi.org/10.1021/acsomega.8b00243" TargetMode="External" /><Relationship Type="http://schemas.openxmlformats.org/officeDocument/2006/relationships/hyperlink" Id="rId83" Target="https://doi.org/10.1021/jm070562u" TargetMode="External" /><Relationship Type="http://schemas.openxmlformats.org/officeDocument/2006/relationships/hyperlink" Id="rId79" Target="https://doi.org/10.1038/nbt.1990" TargetMode="External" /><Relationship Type="http://schemas.openxmlformats.org/officeDocument/2006/relationships/hyperlink" Id="rId66" Target="https://doi.org/10.1038/nbt.2017" TargetMode="External" /><Relationship Type="http://schemas.openxmlformats.org/officeDocument/2006/relationships/hyperlink" Id="rId87" Target="https://doi.org/10.1038/nbt1358" TargetMode="External" /><Relationship Type="http://schemas.openxmlformats.org/officeDocument/2006/relationships/hyperlink" Id="rId67" Target="https://doi.org/10.1038/nchembio.530" TargetMode="External" /><Relationship Type="http://schemas.openxmlformats.org/officeDocument/2006/relationships/hyperlink" Id="rId85" Target="https://doi.org/10.1038/s41586-020-2649-2" TargetMode="External" /><Relationship Type="http://schemas.openxmlformats.org/officeDocument/2006/relationships/hyperlink" Id="rId112" Target="https://doi.org/10.1038/s41592-019-0686-2" TargetMode="External" /><Relationship Type="http://schemas.openxmlformats.org/officeDocument/2006/relationships/hyperlink" Id="rId81" Target="https://doi.org/10.1042/BJ20121418" TargetMode="External" /><Relationship Type="http://schemas.openxmlformats.org/officeDocument/2006/relationships/hyperlink" Id="rId98" Target="https://doi.org/10.1093/bioinformatics/bty593" TargetMode="External" /><Relationship Type="http://schemas.openxmlformats.org/officeDocument/2006/relationships/hyperlink" Id="rId91" Target="https://doi.org/10.1126/science.1075762" TargetMode="External" /><Relationship Type="http://schemas.openxmlformats.org/officeDocument/2006/relationships/hyperlink" Id="rId65" Target="https://doi.org/10.1126/science.aan4368" TargetMode="External" /><Relationship Type="http://schemas.openxmlformats.org/officeDocument/2006/relationships/hyperlink" Id="rId108" Target="https://doi.org/10.1186/1471-2105-12-94" TargetMode="External" /><Relationship Type="http://schemas.openxmlformats.org/officeDocument/2006/relationships/hyperlink" Id="rId77" Target="https://doi.org/10.1186/s12859-016-1413-y" TargetMode="External" /><Relationship Type="http://schemas.openxmlformats.org/officeDocument/2006/relationships/hyperlink" Id="rId75" Target="https://doi.org/10.1186/s12943-018-0804-2" TargetMode="External" /><Relationship Type="http://schemas.openxmlformats.org/officeDocument/2006/relationships/hyperlink" Id="rId110" Target="https://doi.org/10.1351/pac200173081381" TargetMode="External" /><Relationship Type="http://schemas.openxmlformats.org/officeDocument/2006/relationships/hyperlink" Id="rId93" Target="https://doi.org/10.25080/Majora-92bf1922-00a" TargetMode="External" /><Relationship Type="http://schemas.openxmlformats.org/officeDocument/2006/relationships/hyperlink" Id="rId62" Target="https://doi.org/10.26434/chemrxiv.15001618/v1" TargetMode="External" /><Relationship Type="http://schemas.openxmlformats.org/officeDocument/2006/relationships/hyperlink" Id="rId64" Target="https://github.com/dingyan20/Davis-Dataset-for-DTA-Prediction" TargetMode="External" /><Relationship Type="http://schemas.openxmlformats.org/officeDocument/2006/relationships/hyperlink" Id="rId68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Definitional Instability in Kinase Inhibitor Selectivity: An Empirical Characterization Across Four Datasets and Required Properties for a Well-Formed Measure</dc:title>
  <dc:creator>Polina Vinogradova</dc:creator>
  <cp:keywords/>
  <dcterms:created xsi:type="dcterms:W3CDTF">2026-06-29T03:40:18Z</dcterms:created>
  <dcterms:modified xsi:type="dcterms:W3CDTF">2026-06-29T03:40:18Z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– S-score, selectivity entropy, Gini coefficient, and ratio-based measures, which are applied interchangeably without justification. Across four profiling datasets spanning three assay technologies (68-704 compounds each), we show these definitions cluster into two families measuring different properties (cross-family r = 0.14-0.62), and that rank instability is predictable from binding profile shape. We trace instability to three sources: definitional noise below the detection threshold, near-tied top targets, and distribution-ratio disagreement for promiscuous compounds with a dominant target. We derive four properties that any well-formed selectivity measure should satisfy, show that no existing definition satisfies all four, and propose a measure that does and recovers its full-panel ranking from about half a panel.</vt:lpwstr>
  </property>
  <property fmtid="{D5CDD505-2E9C-101B-9397-08002B2CF9AE}" pid="3" name="bibliography">
    <vt:lpwstr>references.bib</vt:lpwstr>
  </property>
</Properties>
</file>