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Comparativo: Bonos en Yenes vs. Marco de Activos Digitales</w:t>
      </w:r>
    </w:p>
    <w:p>
      <w:pPr>
        <w:pStyle w:val="Heading2"/>
      </w:pPr>
      <w:r>
        <w:t>1. Bonos emitidos en yenes para comprar Bitcoin (Metaplanet Inc.)</w:t>
      </w:r>
    </w:p>
    <w:p>
      <w:r>
        <w:t>Este caso muestra cómo una empresa japonesa emitió bonos corporativos sin intereses por 2 mil millones de yenes para adquirir Bitcoin. La estructura financiera es innovadora porque utiliza deuda tradicional para adquirir un activo digital descentralizado. El bono tiene cláusulas de redención anticipada y está vinculado a la emisión de derechos de adquisición de acciones.</w:t>
      </w:r>
    </w:p>
    <w:p>
      <w:pPr>
        <w:pStyle w:val="Heading2"/>
      </w:pPr>
      <w:r>
        <w:t>2. Marco de Activos Digitales (Saylor &amp; Senator)</w:t>
      </w:r>
    </w:p>
    <w:p>
      <w:r>
        <w:t>Este documento propone una clasificación clara de activos digitales (commodities, securities, currencies, tokens, NFTs, ABTs) y un marco de legitimidad, derechos y responsabilidades para emisores, exchanges y propietarios. Promueve eficiencia, transparencia y reducción de costos regulatorios para fomentar una nueva era de mercados de capital.</w:t>
      </w:r>
    </w:p>
    <w:p>
      <w:pPr>
        <w:pStyle w:val="Heading2"/>
      </w:pPr>
      <w:r>
        <w:t>3. Aplicabilidad al piloto de bonos de carbono</w:t>
      </w:r>
    </w:p>
    <w:p>
      <w:r>
        <w:t>Ambos documentos son altamente relevantes. El caso de Metaplanet demuestra cómo estructurar financiamiento innovador con activos digitales. El marco de Saylor &amp; Senator ofrece una guía conceptual para diseñar un sistema legítimo, eficiente y escalable. Ambos pueden servir como base para emitir bonos de carbono tokenizados con trazabilidad, reglas de transferencia y participación comunitaria.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