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Referencias Estratégicas para el Piloto de Bonos de Carbono</w:t>
      </w:r>
    </w:p>
    <w:p>
      <w:r>
        <w:t>Los casos de Metaplanet y el marco de activos digitales de Saylor &amp; Senator ofrecen referencias estratégicas clave:</w:t>
      </w:r>
    </w:p>
    <w:p>
      <w:r>
        <w:t>- Metaplanet muestra cómo usar bonos tradicionales para adquirir activos digitales, lo cual puede inspirar una estructura similar para financiar proyectos de carbono.</w:t>
      </w:r>
    </w:p>
    <w:p>
      <w:r>
        <w:t>- El marco de Saylor &amp; Senator permite clasificar los bonos de carbono como Digital ABTs (Asset-Backed Tokens), respaldados por conservación ambiental.</w:t>
      </w:r>
    </w:p>
    <w:p>
      <w:r>
        <w:t>- Ambos casos refuerzan la importancia de trazabilidad, legitimidad y eficiencia en la emisión de activos digitales, principios que pueden aplicarse al piloto en Colombia.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