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 para Estructurar el Piloto de Bonos de Carbono</w:t>
      </w:r>
    </w:p>
    <w:p>
      <w:r>
        <w:t>Elementos clave adaptados del marco de activos digitales:</w:t>
      </w:r>
    </w:p>
    <w:p>
      <w:r>
        <w:t>- Clasificación del activo: Bonos de carbono como Digital ABTs respaldados por conservación ambiental.</w:t>
      </w:r>
    </w:p>
    <w:p>
      <w:r>
        <w:t>- Derechos y responsabilidades: Participación comunitaria, trazabilidad, reglas de transferencia, auditoría abierta.</w:t>
      </w:r>
    </w:p>
    <w:p>
      <w:r>
        <w:t>- Infraestructura tecnológica: Uso de redes como Liquid o RSK para emitir activos con reglas programables y privacidad.</w:t>
      </w:r>
    </w:p>
    <w:p>
      <w:r>
        <w:t>- Gobernanza: Inclusión de actores locales, validación de beneficiarios, y mecanismos de rendición de cuentas.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