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Argumento para Alianzas Estratégicas: SENA, Angela, Diego Gutiérrez</w:t>
      </w:r>
    </w:p>
    <w:p>
      <w:r>
        <w:t>Este piloto representa una oportunidad para construir una infraestructura de bonos de carbono desde el territorio, con tecnología de vanguardia y participación comunitaria.</w:t>
      </w:r>
    </w:p>
    <w:p>
      <w:r>
        <w:t>- Con el SENA Digital Assets Hub, se puede formar talento local en trazabilidad, tokenización y gobernanza digital.</w:t>
      </w:r>
    </w:p>
    <w:p>
      <w:r>
        <w:t>- Con Angela y CarbonBox, se puede validar el modelo desde la perspectiva de impacto ambiental y legitimidad social.</w:t>
      </w:r>
    </w:p>
    <w:p>
      <w:r>
        <w:t>- Con Diego Gutiérrez y RSK, se puede explorar una infraestructura abierta, compatible con marcos regulatorios y con herramientas de identidad digital soberana.</w:t>
      </w:r>
    </w:p>
    <w:p>
      <w:r>
        <w:t>Estos aliados pueden ayudar a convertir el piloto en un estándar replicable para América Latina.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