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Borrador de Piloto: Bonos de Carbono con Infraestructura Transparente en el Suroccidente de Colombia</w:t>
      </w:r>
    </w:p>
    <w:p>
      <w:pPr>
        <w:pStyle w:val="Heading2"/>
      </w:pPr>
      <w:r>
        <w:t>1. Introducción al problema</w:t>
      </w:r>
    </w:p>
    <w:p>
      <w:r>
        <w:t>El mercado de bonos de carbono en Colombia ha sido objeto de múltiples cuestionamientos debido a la falta de transparencia, trazabilidad y participación de las comunidades locales. Casos como el del resguardo indígena Cotuhé Putumayo, donde se vendieron millones de créditos de carbono sin conocimiento ni consentimiento de los líderes comunitarios, evidencian fallas estructurales graves. Estas fallas incluyen conflictos de interés entre desarrolladores y auditores, falta de acceso a la información y ausencia de mecanismos de verificación independientes.</w:t>
      </w:r>
    </w:p>
    <w:p>
      <w:pPr>
        <w:pStyle w:val="Heading2"/>
      </w:pPr>
      <w:r>
        <w:t>2. Objetivo del piloto</w:t>
      </w:r>
    </w:p>
    <w:p>
      <w:r>
        <w:t>Diseñar e implementar un piloto en el suroccidente de Colombia para la emisión de bonos de carbono con trazabilidad, participación comunitaria y verificación independiente, utilizando tecnologías resistentes a la censura y con reglas de transferencia programables.</w:t>
      </w:r>
    </w:p>
    <w:p>
      <w:pPr>
        <w:pStyle w:val="Heading2"/>
      </w:pPr>
      <w:r>
        <w:t>3. Contexto territorial</w:t>
      </w:r>
    </w:p>
    <w:p>
      <w:r>
        <w:t>El piloto se desarrollará en una región del suroccidente colombiano con presencia de comunidades indígenas y afrodescendientes, alta biodiversidad y potencial para proyectos de conservación. Se priorizarán territorios con antecedentes de exclusión en procesos de mercado de carbono y con liderazgo comunitario activo.</w:t>
      </w:r>
    </w:p>
    <w:p>
      <w:pPr>
        <w:pStyle w:val="Heading2"/>
      </w:pPr>
      <w:r>
        <w:t>4. Propuesta tecnológica</w:t>
      </w:r>
    </w:p>
    <w:p>
      <w:r>
        <w:t>Se propone utilizar la red Liquid y la plataforma Blockstream AMP para emitir activos digitales que representen bonos de carbono. Estas herramientas permiten establecer reglas de transferencia, trazabilidad, privacidad y cumplimiento normativo. Casos de uso como los pagarés en México, el piloto de estímulo en Bermudas y el token de seguridad EXO demuestran su aplicabilidad en contextos reales.</w:t>
      </w:r>
    </w:p>
    <w:p>
      <w:pPr>
        <w:pStyle w:val="Heading2"/>
      </w:pPr>
      <w:r>
        <w:t>5. Actores clave</w:t>
      </w:r>
    </w:p>
    <w:p>
      <w:r>
        <w:t>- Comunidades locales (resguardos indígenas, consejos comunitarios)</w:t>
        <w:br/>
        <w:t>- Organizaciones sociales y ambientales</w:t>
        <w:br/>
        <w:t>- Desarrolladores tecnológicos (ej. Adolfo Contreras, Blockstream)</w:t>
        <w:br/>
        <w:t>- Universidades y centros de investigación</w:t>
        <w:br/>
        <w:t>- Entidades públicas (Ministerio de Ambiente, Defensoría del Pueblo)</w:t>
        <w:br/>
        <w:t>- Certificadores y auditores independientes</w:t>
      </w:r>
    </w:p>
    <w:p>
      <w:pPr>
        <w:pStyle w:val="Heading2"/>
      </w:pPr>
      <w:r>
        <w:t>6. Beneficios esperados</w:t>
      </w:r>
    </w:p>
    <w:p>
      <w:r>
        <w:t>- Trazabilidad completa de los bonos desde su origen</w:t>
        <w:br/>
        <w:t>- Participación informada y validada de las comunidades</w:t>
        <w:br/>
        <w:t>- Reducción de conflictos de interés y opacidad</w:t>
        <w:br/>
        <w:t>- Modelo replicable y escalable en otras regiones</w:t>
        <w:br/>
        <w:t>- Fortalecimiento de la soberanía tecnológica y ambiental</w:t>
      </w:r>
    </w:p>
    <w:p>
      <w:pPr>
        <w:pStyle w:val="Heading2"/>
      </w:pPr>
      <w:r>
        <w:t>7. Riesgos y mitigaciones</w:t>
      </w:r>
    </w:p>
    <w:p>
      <w:r>
        <w:t>- Resistencia institucional: Mitigar con alianzas estratégicas y visibilidad pública.</w:t>
        <w:br/>
        <w:t>- Brechas tecnológicas: Capacitación local y herramientas accesibles.</w:t>
        <w:br/>
        <w:t>- Conflictos de gobernanza interna: Procesos participativos y validación comunitaria.</w:t>
        <w:br/>
        <w:t>- Riesgo reputacional: Transparencia total y auditoría abierta.</w:t>
      </w:r>
    </w:p>
    <w:p>
      <w:pPr>
        <w:pStyle w:val="Heading2"/>
      </w:pPr>
      <w:r>
        <w:t>8. Próximos pasos</w:t>
      </w:r>
    </w:p>
    <w:p>
      <w:r>
        <w:t>1. Identificación del territorio piloto y actores locales.</w:t>
        <w:br/>
        <w:t>2. Diseño participativo del modelo de gobernanza y emisión.</w:t>
        <w:br/>
        <w:t>3. Desarrollo de la infraestructura tecnológica.</w:t>
        <w:br/>
        <w:t>4. Prueba de concepto con emisión simbólica.</w:t>
        <w:br/>
        <w:t>5. Evaluación, documentación y escalamiento.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