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50"/>
          <w:szCs w:val="50"/>
        </w:rPr>
      </w:pPr>
      <w:bookmarkStart w:colFirst="0" w:colLast="0" w:name="_i7cx0v8gs15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50"/>
          <w:szCs w:val="50"/>
          <w:rtl w:val="0"/>
        </w:rPr>
        <w:t xml:space="preserve">El Core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dpv6gyccq4a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1. Morning Intelligence Briefing </w:t>
      </w:r>
    </w:p>
    <w:p w:rsidR="00000000" w:rsidDel="00000000" w:rsidP="00000000" w:rsidRDefault="00000000" w:rsidRPr="00000000" w14:paraId="00000004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Cada mañana a las 7:00 el sistema genera automáticamente un briefing personalizado por cliente en lenguaje natural. Responde tres preguntas: ¿qué cambió desde ayer? ¿qué debo vigilar hoy? ¿hay alguna amenaza u oportunidad para mi sector o partido? Lo genera Claude sobre los datos frescos de BOE, RSS, Congreso y encuestas de las últimas 24h.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mpfcat8uq5m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2. Mapa de Actores con Ontología</w:t>
      </w:r>
    </w:p>
    <w:p w:rsidR="00000000" w:rsidDel="00000000" w:rsidP="00000000" w:rsidRDefault="00000000" w:rsidRPr="00000000" w14:paraId="00000006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grafo vivo de relaciones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. Cada Actor (diputado, partido, grupo parlamentario, ministro, asesor clave) tiene posición ideológica por eje, historial de votaciones, alineación por tema, cambios de cargo recientes y alertas de actividad. El cliente puede preguntar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"¿quién en el PP es favorable a la regulación del alquiler?"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y recibe nombres, votos y declaraciones. La inspiración es el Gotham de Palantir: objetos conectados, no registros aislados.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3wx7c9578o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3. Termómetro de Riesgo Político</w:t>
      </w:r>
    </w:p>
    <w:p w:rsidR="00000000" w:rsidDel="00000000" w:rsidP="00000000" w:rsidRDefault="00000000" w:rsidRPr="00000000" w14:paraId="00000008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Un índice sintético configurable (0-100) que mide la exposición regulatoria del cliente al momento actual. Combina: estabilidad de la coalición de gobierno, actividad legislativa sobre temas del cliente, sentiment de prensa sobre esos temas, y distancia ideológica del gobierno a sus intereses. Actualización diaria automática con series temporales históricas.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bookmarkStart w:colFirst="0" w:colLast="0" w:name="_x2tc8k4rsxe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3.1 Crisis Intelligence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before="120" w:line="390" w:lineRule="auto"/>
        <w:jc w:val="both"/>
        <w:rPr>
          <w:rFonts w:ascii="Georgia" w:cs="Georgia" w:eastAsia="Georgia" w:hAnsi="Georgia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Módulo de detección temprana y gestión de crisis políticas y reputacionales. Combina tres señales en tiempo real: velocidad de difusión de una narrativa negativa en prensa (curva de contagio semántico), reacción parlamentaria (¿alguien está preparando una interpelación?), y posicionamiento de actores clave (¿el partido en el gobierno está distanciándose?). Genera un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Protocolo de Respuesta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tres niveles: monitorización, alerta y acción, con argumentarios pre-redactados para portavoz basados en el historial de declaraciones de los actores implicados. Incluye simulador de narrativas: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"si respondemos X, ¿cómo reacciona la agenda mediática en 48h según patrones históricos similares?"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mbx3dnqi4ln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4. Monitor Legislativo, congreso y UE en Tiempo Real</w:t>
      </w:r>
    </w:p>
    <w:p w:rsidR="00000000" w:rsidDel="00000000" w:rsidP="00000000" w:rsidRDefault="00000000" w:rsidRPr="00000000" w14:paraId="0000000D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Scraping automatizado de BOE, BOCG, Congreso y los 17 parlamentos autonómicos. Cada norma pasa por NLP: se clasifica por tema, se resume en tres líneas, se identifica el impacto potencial por sector, y se genera una alerta si intersecta con los intereses del cliente. Diferenciador crítico con la nueva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Ley de Lobbies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el cliente ya tiene un log automático para su huella legislativa.</w:t>
      </w:r>
    </w:p>
    <w:p w:rsidR="00000000" w:rsidDel="00000000" w:rsidP="00000000" w:rsidRDefault="00000000" w:rsidRPr="00000000" w14:paraId="0000000E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Sobre el monitor del Core, añade: trazabilidad completa de cada iniciativa desde propuesta hasta publicación, comparador de versiones de enmiendas, red de quién vota qué y por qué, y el generador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informe de huella legislativa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para cumplimiento de la Ley de Transparencia y Lobbies — exportable en el formato legal requerido.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empresas IBEX, consultoras de Public Affairs.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amu6en64qki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5. Dashboard de Coaliciones, Estabilidad de Gobierno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bookmarkStart w:colFirst="0" w:colLast="0" w:name="_2qhexlgbgah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No solo quién tiene los escaños — qué tan estable es el gobierno, qué probabilidad hay de que cada socio se caiga, cuáles son los caminos a elecciones anticipadas. Actualizado con cada encuesta nueva. Incluye hemiciclo interactivo, índice de Pedersen y evolución de la fragmentación.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ub59oudh4g3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6. Sistema de Alertas Configurables</w:t>
      </w:r>
    </w:p>
    <w:p w:rsidR="00000000" w:rsidDel="00000000" w:rsidP="00000000" w:rsidRDefault="00000000" w:rsidRPr="00000000" w14:paraId="00000012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cliente define sus umbrales: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"avísame si el PP supera el 35%"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"alerta si hay un proyecto de ley sobre banca en el Senado"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"notifícame si el gobierno menciona energía nuclear"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. Entrega vía email, Telegram o webhook. Transforma la plataforma de pasiva a operacional.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ldp6q3xb386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7. Módulo de Medios y Narrativa </w:t>
      </w:r>
    </w:p>
    <w:p w:rsidR="00000000" w:rsidDel="00000000" w:rsidP="00000000" w:rsidRDefault="00000000" w:rsidRPr="00000000" w14:paraId="00000014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agenda mediática en tiempo real: 30+ medios nacionales y regionales vía RSS con NLP de sentimiento, NER de entidades políticas, clustering semántico de narrativas emergentes, correlación prensa-parlamento (qué se dice en prensa vs. qué se debate), y tracker de qué temas ganan o pierden protagonismo. Inspirado en la capa de semantic search de pgvector ya existente en el repo.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90" w:lineRule="auto"/>
        <w:jc w:val="both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Monitor de ataques narrativos coordinados contra el cliente. Detecta patrones de difusión anómala: una noticia que se replica en 40 sitios en 2 horas, una cuenta que lleva 3 días mencionando al cliente de forma sistemática, un bulo que está ganando tracción antes de que llegue a los medios mainstream. Clasifica cada amenaza narrativa por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nivel de riesgo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(ruido de fondo / amenaza emergente / crisis activa) y genera automáticamente un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Kit de Respuesta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síntesis del bulo, fuentes originales, argumentario de desmentido, actores a los que dirigirse primero. Para partidos incluye detección de operaciones de desinformación desde cuentas coordinadas. Para empresas, detección de campañas de presión política orquestadas. Diferenciador competitivo real: ninguna herramienta española combina hoy inteligencia política con detección de desinformación en una misma plataforma.</w:t>
      </w:r>
    </w:p>
    <w:p w:rsidR="00000000" w:rsidDel="00000000" w:rsidP="00000000" w:rsidRDefault="00000000" w:rsidRPr="00000000" w14:paraId="00000016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0" w:line="300" w:lineRule="auto"/>
        <w:jc w:val="both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pb4ppjsn3ez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8. Geopolítica &amp; Relaciones Internacionales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Seguimiento de cómo las decisiones internacionales impactan en la política doméstica española y viceversa. Monitor de las posiciones de España en la UE, la OTAN y la ONU por tema. Análisis de cómo los bloques geopolíticos (NATO, BRICS, UE) se posicionan sobre sectores relevantes para el cliente. Tracker de cargos españoles en instituciones internacionales.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Especialmente valioso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para empresas con presencia multinacional, think tanks de política exterior, y el sector Defensa. Incluye un feed de inteligencia geopolítica curada con NLP: no noticias sino implicaciones para España.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apt1uaaiku8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9. Communications Intelligence &amp; Messaging </w:t>
      </w:r>
    </w:p>
    <w:p w:rsidR="00000000" w:rsidDel="00000000" w:rsidP="00000000" w:rsidRDefault="00000000" w:rsidRPr="00000000" w14:paraId="0000001A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Diseñado para partidos, consultoras de comunicación y equipos de campaña. Tiene tres funciones distintas.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Primera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análisis de qué mensajes están funcionando para cada partido en cada segmento demográfico — cruza sentiment de prensa, engagement en RRSS y movimiento en encuestas para identificar qué declaración o anuncio produjo qué cambio.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Segunda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testeo de mensajes propios contra los perfiles de votante del simulador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"¿cómo reacciona el cluster de Jóvenes Precarios Urbanos a este mensaje sobre vivienda?"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antes de lanzarlo públicamente.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Tercera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tracker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consistencia narrativa del adversario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detecta automáticamente cuándo un partido cambia de posición sobre un tema y genera un registro documentado con citas y fechas, que es material directo para oposición política o para periodistas.</w:t>
      </w:r>
    </w:p>
    <w:p w:rsidR="00000000" w:rsidDel="00000000" w:rsidP="00000000" w:rsidRDefault="00000000" w:rsidRPr="00000000" w14:paraId="0000001B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bookmarkStart w:colFirst="0" w:colLast="0" w:name="_vd1g3uumwhk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10. Centro de operaciones (workspace del analista)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x6ka8bn36ow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Client Workspaces</w:t>
      </w:r>
    </w:p>
    <w:p w:rsidR="00000000" w:rsidDel="00000000" w:rsidP="00000000" w:rsidRDefault="00000000" w:rsidRPr="00000000" w14:paraId="0000001E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Un espacio dedicado por cada cliente del analista. Dentro de cada uno: perfil político y sectorial del cliente, historial de todos los briefings entregados, configuración propia de alertas, notas de reuniones, y timeline de eventos relevantes. El analista gestiona cinco clientes simultáneos sin mezclar contextos. La dependencia se crea porque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el historial de relación con el cliente está aquí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no en el email.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22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ipm64porxaw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Investigation Canvas y evidence linker</w:t>
      </w:r>
    </w:p>
    <w:p w:rsidR="00000000" w:rsidDel="00000000" w:rsidP="00000000" w:rsidRDefault="00000000" w:rsidRPr="00000000" w14:paraId="00000020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Una pizarra digital donde el analista arrastra objetos del sistema (actores, leyes, noticias, datos de encuestas, alertas disparadas) y los conecta con flechas anotadas. Sirve para construir el razonamiento de un informe: </w:t>
      </w:r>
      <w:r w:rsidDel="00000000" w:rsidR="00000000" w:rsidRPr="00000000">
        <w:rPr>
          <w:rFonts w:ascii="Cardo" w:cs="Cardo" w:eastAsia="Cardo" w:hAnsi="Cardo"/>
          <w:i w:val="1"/>
          <w:iCs w:val="1"/>
          <w:color w:val="27251e"/>
          <w:sz w:val="24"/>
          <w:szCs w:val="24"/>
          <w:rtl w:val="0"/>
        </w:rPr>
        <w:t xml:space="preserve">"este actor → votó contra → esta ley → que generó → esta narrativa en prensa → que correlaciona con → esta caída del 2pp en las encuestas"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. Exportable como imagen o como informe estructurado.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2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yypi6vm5pmw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Draft Studio</w:t>
      </w:r>
    </w:p>
    <w:p w:rsidR="00000000" w:rsidDel="00000000" w:rsidP="00000000" w:rsidRDefault="00000000" w:rsidRPr="00000000" w14:paraId="00000022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Editor de texto enriquecido integrado con todos los datos de la plataforma. El analista escribe su informe semanal y puede insertar con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cualquier gráfico vivo, tabla de datos, cita de actor o fragmento de legislación directamente desde el sistema. Las inserciones se actualizan automáticamente cuando los datos cambian. Incluye: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Plantillas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para tipos comunes de entregables (briefing semanal, memo de riesgo, análisis de coaliciones, ficha de actor)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Historial de versiones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diff visible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Exportación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a PDF, Word y PowerPoint con el logo del cliente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Modo presentación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para reuniones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firstLine="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24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quxuicnyijp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Intelligence Notebook</w:t>
      </w:r>
    </w:p>
    <w:p w:rsidR="00000000" w:rsidDel="00000000" w:rsidP="00000000" w:rsidRDefault="00000000" w:rsidRPr="00000000" w14:paraId="00000029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Una capa de anotación personal sobre cualquier dato de la plataforma. El analista puede resaltar un dato del nowcasting, añadirle una nota privada o compartible, y enlazarla a una hipótesis. Las notas se indexan semánticamente — búsqueda tipo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"todas mis notas sobre Junts y vivienda"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funciona en segundos con pgvector. Es el equivalente de las libretas de un analista de inteligencia, pero digital, buscable y conectada a evidencias en vivo.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19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gv9hvpd9vf5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Political Calendar + Event Tracker</w:t>
      </w:r>
    </w:p>
    <w:p w:rsidR="00000000" w:rsidDel="00000000" w:rsidP="00000000" w:rsidRDefault="00000000" w:rsidRPr="00000000" w14:paraId="0000002B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Calendario político con fechas clave pre-cargadas automáticamente: próximas elecciones (con countdown), plenos del Congreso, publicaciones del CIS, presentación de PGE, cumbres europeas. El analista añade sus propios eventos: reuniones con cliente, entregas de informes, plazos legales. Integrado con el sistema de alertas — si un evento relevante se aproxima, aparece en el Morning Briefing del día anterior.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2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1tw39fsez1p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Watchlists, tendencias y Saved Searches</w:t>
      </w:r>
    </w:p>
    <w:p w:rsidR="00000000" w:rsidDel="00000000" w:rsidP="00000000" w:rsidRDefault="00000000" w:rsidRPr="00000000" w14:paraId="0000002D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analista guarda búsquedas semánticas persistentes que se actualizan solas: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"toda actividad legislativa sobre energía nuclear en los últimos 7 días"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se convierte en un stream vivo. Puede crear Watchlists de actores específicos, seguir el RSS de un tema, o vigilar que un partido no haga menciones sobre un tema sensible. Cada item nuevo en una Watchlist genera un badge en el Workspace.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2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ucc3bmscy9v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Team Collaboration</w:t>
      </w:r>
    </w:p>
    <w:p w:rsidR="00000000" w:rsidDel="00000000" w:rsidP="00000000" w:rsidRDefault="00000000" w:rsidRPr="00000000" w14:paraId="0000002F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Para consultoras con varios analistas: workspaces compartidos, asignación de tareas vinculadas a datos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"revisa la evolución de esta encuesta y añade un párrafo al borrador del cliente Iberdrola"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), hilos de comentarios sobre cualquier objeto del sistema, y un Activity Feed de equipo que muestra qué ha hecho cada colaborador. El analista senior supervisa; el junior ejecuta — todo dentro de la plataforma.</w:t>
      </w:r>
    </w:p>
    <w:p w:rsidR="00000000" w:rsidDel="00000000" w:rsidP="00000000" w:rsidRDefault="00000000" w:rsidRPr="00000000" w14:paraId="00000030">
      <w:pPr>
        <w:spacing w:after="500" w:before="50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</w:rPr>
        <w:drawing>
          <wp:inline distB="114300" distT="114300" distL="114300" distR="114300">
            <wp:extent cx="5553075" cy="31002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519" l="21096" r="15781" t="278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00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0" w:before="500" w:line="39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44"/>
          <w:szCs w:val="44"/>
          <w:rtl w:val="0"/>
        </w:rPr>
        <w:t xml:space="preserve">Los Módulos Funcionales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ninnjjop800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Módulo Electoral </w:t>
      </w:r>
    </w:p>
    <w:p w:rsidR="00000000" w:rsidDel="00000000" w:rsidP="00000000" w:rsidRDefault="00000000" w:rsidRPr="00000000" w14:paraId="00000033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corazón técnico de ElectSim. DHondt sobre las 52 circunscripciones reales, nowcasting bayesiano con ponderación de encuestadoras por RMSE histórico, proyección de escaños con intervalos de confianza, escenarios de coalición post-electoral con probabilidades. Incluye historia de versiones del nowcasting — el cliente ve cómo evolucionó la estimación semana a semana, no solo la foto actual.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simulador estratégico real. El usuario pregunta en lenguaje natural: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"¿qué impacto tiene anunciar reducción del IRPF esta semana entre el voto blando de clase media en Madrid?"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El sistema coordina internamente el nowcasting, la matriz de transferencia de voto por cohort demográfico (microdatos CIS reales), el tracker de narrativas y la saturación del tema en agenda. Devuelve tres escenarios con probabilidades y una recomendación ejecutiva. Incluye la capa de perfiles de votante con los 6 clusters de microdatos CIS y el War Room integrado.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Perfiles detallados de cada líder y partido adversario: evolución de posiciones, contradicciones entre declaración y voto, vulnerabilidades por tema, red de apoyos. Alimentado por el historial de votaciones del Congreso, declaraciones en prensa y análisis de distancia entre agenda mediática y agenda legislativa. Inspirado en lo que NationBuilder hace con voter profiles pero aplicado a élites políticas.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Los 17 parlamentos autonómicos + grandes ayuntamientos. Para cada territorio: composición, estabilidad del gobierno, mapa de actores locales, riesgo regulatorio por comunidad, y seguimiento de diferencias normativas entre CCAA para sectores regulados (sanidad, educación, energía, vivienda). Incluye mapa interactivo con deck.gl y análisis por provincia/municipio. </w:t>
      </w:r>
    </w:p>
    <w:p w:rsidR="00000000" w:rsidDel="00000000" w:rsidP="00000000" w:rsidRDefault="00000000" w:rsidRPr="00000000" w14:paraId="00000037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Gestión de la estructura de campaña sobre el terreno: canvassing digital con asignación de zonas por cluster demográfico (el sistema sabe qué perfiles de votante viven en cada circunscripción y qué mensaje usar con cada uno), gestión de voluntarios con métricas de actividad, CRM de supporters con historial de contactos y nivel de compromiso, y GOTV (Get Out The Vote) con priorización automática de a quién llamar primero según propensión al voto y volatilidad. Incluye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War Room móvil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la app simplificada para que el candidato vea en 30 segundos el estado de la campaña sobre el terreno antes de un acto. Solo disponible con Módulo Electoral y Campaña Estratégica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120" w:line="39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Macro-Political and Economic Intelligence 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Dashboard macroeconómico en tiempo real (PIB, IPC, empleo, deuda, spread bono)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Motor de correlación histórica política-economía (modelo de voto económico)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Índice de Tensión Política-Económica (ITPE) sintético 0-100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PGE: probabilidades de aprobación, negociaciones, ejecución presupuestaria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BCE y reglas fiscales UE con impacto sobre España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Sovereign Risk Dashboard: spread, CDS, bid-to-cover de subastas del Tesoro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Nowcasting propio del PIB e inflación con intervalos de confianza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Escenarios macroeconómicos bajo diferentes escenarios políticos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e8bkvqhb0ld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Energía &amp; Utilities </w:t>
      </w:r>
    </w:p>
    <w:p w:rsidR="00000000" w:rsidDel="00000000" w:rsidP="00000000" w:rsidRDefault="00000000" w:rsidRPr="00000000" w14:paraId="00000043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 monitorizadas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MITECO, CNMC, REE, IDAE, OMIE (mercado eléctrico), BOE sección energía, Diario Oficial de la UE (directivas energéticas), los 17 parlamentos autonómicos para implantación de renovables.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subastas de renovables con predicción de convocatoria basada en patrones históricos y señales legislativas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precios regulados (PVPC, gas natural) y sus palancas políticas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de todos los grupos parlamentarios sobre nuclear, renovables, autoconsumo e hidrógena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permisos autonómicos: qué CCAA están acelerando/bloqueando proyectos fotovoltaicos o eólicos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procedimientos de la CNMC y resoluciones de acceso a red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Riesgo político por territorio para cada tipo de implantación</w:t>
      </w:r>
    </w:p>
    <w:p w:rsidR="00000000" w:rsidDel="00000000" w:rsidP="00000000" w:rsidRDefault="00000000" w:rsidRPr="00000000" w14:paraId="0000004A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m75t41ky70b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Farma &amp; Salud </w:t>
      </w:r>
    </w:p>
    <w:p w:rsidR="00000000" w:rsidDel="00000000" w:rsidP="00000000" w:rsidRDefault="00000000" w:rsidRPr="00000000" w14:paraId="0000004C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Ministerio de Sanidad, AEMPS, CISNS (Consejo Interterritorial del SNS), consejeras autonómicas de sanidad, EMA (Agencia Europea del Medicamento), EFPIA.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financiación y acceso de nuevos fármacos: desde solicitud de precio hasta resolución, con benchmarking contra medicamentos similares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licitaciones y contratos públicos del sistema sanitario por CCAA (diferencias de acceso autonómico)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parlamentarias sobre copago, conciertos sanitarios, industria nacional y gasto farmacéutico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regulación europea (EMA, directiva de medicamentos de uso humano revisada) e impacto sobre España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cambios en guías de práctica clínica que afectan a indicaciones concretas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Índice de riesgo por CCAA para comercialización y distribución</w:t>
      </w:r>
    </w:p>
    <w:p w:rsidR="00000000" w:rsidDel="00000000" w:rsidP="00000000" w:rsidRDefault="00000000" w:rsidRPr="00000000" w14:paraId="00000053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mlgczrocvmu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Defensa &amp; Industria Estratégica </w:t>
      </w:r>
    </w:p>
    <w:p w:rsidR="00000000" w:rsidDel="00000000" w:rsidP="00000000" w:rsidRDefault="00000000" w:rsidRPr="00000000" w14:paraId="00000055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más caro de los sectoriales porque sus clientes son los que más valoran la inteligencia anticipatoria.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Ministerio de Defensa, SEDEF (Secretaría de Estado de Defensa), DGAM (Dirección General de Armamento), BOD (Boletín Oficial de Defensa), NATO HQ Bruselas, EDA (Agencia Europea de Defensa), OCCAR.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Contenido específico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del PACDEF (Plan de Acción para la Capacidad de Defensa Española) con estado de cada programa por fases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contratos y licitaciones de defensa: plataformas, sistemas, mantenimiento, I+D con timeline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grupos de trabajo parlamentarios y posiciones sobre presupuesto de defensa, 2% PIB, industria dual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programas europeos: FCAS, MGCS, Eurodrone, European Defence Fund — con participación española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cambios en normativa de exportación de material de defensa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Índice de riesgo presupuestario: probabilidad de que los PGE incluyan o reduzcan el capítulo XII</w:t>
      </w:r>
    </w:p>
    <w:p w:rsidR="00000000" w:rsidDel="00000000" w:rsidP="00000000" w:rsidRDefault="00000000" w:rsidRPr="00000000" w14:paraId="0000005C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jth3ibqa758c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Vivienda &amp; Inmobiliario </w:t>
      </w:r>
    </w:p>
    <w:p w:rsidR="00000000" w:rsidDel="00000000" w:rsidP="00000000" w:rsidRDefault="00000000" w:rsidRPr="00000000" w14:paraId="0000005E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Plan Estatal de Vivienda 2026-2030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movilizando 7.000M€ y la regulación del alquiler siendo uno de los temas más activos políticamente, este es el módulo con mayor demanda inmediata.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Ministerio de Vivienda, Catastro, registros autonómicos de vivienda protegida, BOE sección vivienda, parlamentos autonómicos (Cataluña, Madrid, Andalucía tienen legislación propia divergente).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Contenido específico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del despliegue del Plan Estatal por CCAA: qué comunidades están ejecutando, cuáles bloqueando y por qué (razones políticas identificadas)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legislativo de la regulación del alquiler: índice de referencia, grandes tenedores, zonas tensionadas — por CCAA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por partido sobre VPO, alquiler social, fiscalidad de la vivienda, suelo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planes urbanísticos municipales y sus palancas políticas en los grandes ayuntamientos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riesgo por capital de provincia para nuevas promociones (exposición regulatoria por alcaldía y gobierno autonómico)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Índice de apetito inversor político: qué tan favorable es el entorno político para REITS y fondos en cada territorio</w:t>
      </w:r>
    </w:p>
    <w:p w:rsidR="00000000" w:rsidDel="00000000" w:rsidP="00000000" w:rsidRDefault="00000000" w:rsidRPr="00000000" w14:paraId="00000065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8pgpz3swgg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Banca &amp; Seguros</w:t>
      </w:r>
    </w:p>
    <w:p w:rsidR="00000000" w:rsidDel="00000000" w:rsidP="00000000" w:rsidRDefault="00000000" w:rsidRPr="00000000" w14:paraId="00000067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Banco de España, CNMV, Dirección General de Seguros (DGSFP), Ministerio de Economía, BCE, EBA, EIOPA. 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legislativo sobre fiscalidad bancaria (gravamen extraordinario, extensiones, modificaciones) con análisis de probabilidades de aprobación por composición parlamentaria actual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regulación de consumo financiero: IRPH, cláusulas abusivas, hipotecas, crédito al consumo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sobre pensiones, ahorro privado, fondos de pensiones: crítico para aseguradoras de vida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directivas europeas en transposición: PSD3, DORA, IDD, Solvencia II revisada — con plazos y estado en España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intervenciones del Banco de España o resoluciones de la CNMV con impacto sectorial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Índice de riesgo político por producto bancario</w:t>
      </w:r>
    </w:p>
    <w:p w:rsidR="00000000" w:rsidDel="00000000" w:rsidP="00000000" w:rsidRDefault="00000000" w:rsidRPr="00000000" w14:paraId="0000006E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3fhkwa3cwkl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Agroalimentario &amp; Rural </w:t>
      </w:r>
    </w:p>
    <w:p w:rsidR="00000000" w:rsidDel="00000000" w:rsidP="00000000" w:rsidRDefault="00000000" w:rsidRPr="00000000" w14:paraId="00000070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MAPA (Ministerio de Agricultura), FEGA (Fondo Español de Garantía Agraria), consejeras autonómicas de agricultura, Comisión Europea (PAC, OCM, Farm to Fork), COAG, UPA, Cooperativas Agro-alimentarias: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la implementación del Plan Estratégico de la PAC en España: pagos directos, eco-esquemas, medidas agroambientales por CCAA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conflictos agrarios: origen político de cada movilización, actores implicados, demandas vs. respuesta gubernamental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parlamentarias sobre agua (trasvases, Plan Hidrológico), fitosanitarios, etiquetado y comercio internacional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convocatorias de ayudas (líneas del MAPA, fondos europeos Next Gen para agro) con plazos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riesgo por cadena de valor: producción, transformación, distribución, exportación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precios de materias primas agrícolas y su relación con decisiones regulatorias</w:t>
      </w:r>
    </w:p>
    <w:p w:rsidR="00000000" w:rsidDel="00000000" w:rsidP="00000000" w:rsidRDefault="00000000" w:rsidRPr="00000000" w14:paraId="00000077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sadpvc31xhq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Telecomunicaciones &amp; Digital </w:t>
      </w:r>
    </w:p>
    <w:p w:rsidR="00000000" w:rsidDel="00000000" w:rsidP="00000000" w:rsidRDefault="00000000" w:rsidRPr="00000000" w14:paraId="00000079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Sector en plena transformación regulatoria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Ley de Telecomunicaciones 2022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Reglamento de IA de la UE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ya en vigor y el despliegue del 5G como palanca política.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Contenido específico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la CNMC (mercados mayoristas, regulación de acceso, resoluciones de competencia)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del Reglamento de IA: categorías de riesgo, plazos de implementación, sanciones — impacto por uso específico del cliente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parlamentarias sobre soberanía digital, ciberseguridad, big data, plataformas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fondos Next Gen para digitalización (componentes 15, 16 y 19 del PRTR) con estado de ejecución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convocatorias del INCIBE y el CCN para proyectos de ciberseguridad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riesgo regulatorio por servicio (banda ancha, OTT, cloud, IA aplicada)</w:t>
      </w:r>
    </w:p>
    <w:p w:rsidR="00000000" w:rsidDel="00000000" w:rsidP="00000000" w:rsidRDefault="00000000" w:rsidRPr="00000000" w14:paraId="00000080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20b3z9tkm0bp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Infraestructuras &amp; Movilidad </w:t>
      </w:r>
    </w:p>
    <w:p w:rsidR="00000000" w:rsidDel="00000000" w:rsidP="00000000" w:rsidRDefault="00000000" w:rsidRPr="00000000" w14:paraId="00000082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Fuentes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MITMA (Ministerio de Transportes), ADIF, AENA, Puertos del Estado, Registro de Infraestructuras, MEH (para concesiones y PPP).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del Plan de Inversión en Infraestructuras con estado de cada proyecto: fase, licitaciones publicadas, adjudicaciones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concesiones de autopistas, puertos y aeropuertos: vencimientos, renegociaciones, nuevas licitaciones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por partido y CCAA sobre inversión territorial: quién pide qué corredor, qué hay comprometido y qué no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convocatorias del RTE-T (Red Trans-Europea de Transporte) con participación española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movilidad sostenible: PERTE para vehículo eléctrico, incentivos, normativa de zonas de bajas emisiones por municipio</w:t>
      </w:r>
    </w:p>
    <w:p w:rsidR="00000000" w:rsidDel="00000000" w:rsidP="00000000" w:rsidRDefault="00000000" w:rsidRPr="00000000" w14:paraId="00000088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1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u w:val="none"/>
        </w:rPr>
      </w:pPr>
      <w:bookmarkStart w:colFirst="0" w:colLast="0" w:name="_85uh5a57rgp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Turismo &amp; Hostelería </w:t>
      </w:r>
    </w:p>
    <w:p w:rsidR="00000000" w:rsidDel="00000000" w:rsidP="00000000" w:rsidRDefault="00000000" w:rsidRPr="00000000" w14:paraId="0000008A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Sector masivo en España con alta dependencia de regulación municipal y autonómica.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regulación de vivienda turística por CCAA y grandes municipios (la divergencia es enorme entre Canarias, Baleares, Barcelona y Madrid)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tasas turísticas: estado por municipio, probabilidades de extensión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posiciones sobre masificación turística, derechos laborales del sector y sostenibilidad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sobre planes de ordenación territorial que afecten a zonas de interés turístico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Instituciones Políticas Locales &amp; Regionales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Observatorio de los 17 parlamentos autonómicos + 2 ciudades autónomas (hemiciclo, estabilidad, actividad legislativa)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los 250 grandes ayuntamientos: plenos, ordenanzas, planes urbanísticos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Comparador de regulación entre CCAA por sector con motor de búsqueda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recursos ante el TC (Estado vs. CCAA)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Perfiles profundos de partidos regionales (PNV, ERC, Junts, EH Bildu, BNG…)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 negociaciones Estado-CCAA y Conferencia de Presidentes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Nowcasting autonómico integrado con señales regionales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territoriales configurables por CCAA y municipio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numPr>
          <w:ilvl w:val="0"/>
          <w:numId w:val="11"/>
        </w:numPr>
        <w:spacing w:after="8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gsf1atavpgy1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Licitaciones y Contratos Públicos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Agregador Unificado de Licitaciones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Una sola vista con la Plataforma de Contratación del Estado + 17 plataformas autonómicas + portales de los 50 mayores ayuntamientos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Filtros por sector, territorio, importe, tipo de contrato (obras, servicios, suministros, concesiones) y órgano de contratación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configurables: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"licitaciones de TI en Andalucía mayores de 500k€"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Normalización de CPV (Clasificación de Productos por Actividades) para búsqueda cruzada entre plataformas</w:t>
      </w:r>
    </w:p>
    <w:p w:rsidR="00000000" w:rsidDel="00000000" w:rsidP="00000000" w:rsidRDefault="00000000" w:rsidRPr="00000000" w14:paraId="000000A0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Inteligencia de Adjudicaciones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Histórico completo de adjudicaciones: quién gana qué, dónde, con qué precio y con qué margen sobre el presupuesto base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Detección de patrones de adjudicación: qué empresas dominan cada sector y territorio, cuándo hay adjudicaciones repetidas al mismo proveedor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Análisis de correlación entre partido gobernante y perfil de adjudicatario por sector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subcontratación y UTE (Uniones Temporales de Empresas): mapa de consorcios habituales</w:t>
      </w:r>
    </w:p>
    <w:p w:rsidR="00000000" w:rsidDel="00000000" w:rsidP="00000000" w:rsidRDefault="00000000" w:rsidRPr="00000000" w14:paraId="000000A5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Monitor de Contratos Vigentes y Vencimientos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Radar de vencimientos próximos (3, 6 y 12 meses): los contratos que expiran son las licitaciones del mañana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de prórroga automática vs. nueva licitación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Seguimiento de contratos menores y modificados: donde más fácil es entrar y donde más irregularidades se detectan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Estado de ejecución de grandes contratos: ampliaciones de plazo, modificaciones de precio, litigios activos</w:t>
      </w:r>
    </w:p>
    <w:p w:rsidR="00000000" w:rsidDel="00000000" w:rsidP="00000000" w:rsidRDefault="00000000" w:rsidRPr="00000000" w14:paraId="000000AA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Inteligencia Competitiva de Contratación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Perfil de cada empresa como licitadora: en qué sectores compite, en qué territorios gana, cuál es su tasa de éxito por tipo de contrato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Análisis de precios de oferta vs. presupuesto base: qué margen de bajada aplica cada competidor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solvencia técnica exigida: qué requisitos técnicos y financieros se piden en cada tipo de licitación (para calibrar si el cliente puede optar)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Red de UTE habituales: con quién suelen agruparse las empresas líderes para contratos complejos</w:t>
      </w:r>
    </w:p>
    <w:p w:rsidR="00000000" w:rsidDel="00000000" w:rsidP="00000000" w:rsidRDefault="00000000" w:rsidRPr="00000000" w14:paraId="000000AF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Monitor de Fondos Europeos (Next Generation EU)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Estado de ejecución de los PERTE y convocatorias del PRTR por componente y ministerio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de convocatorias abiertas filtradas por sector del cliente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proyectos aprobados y pendientes de resolución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Mapa de intermediarios: qué comunidades están ejecutando mejor los fondos y a través de qué entidades</w:t>
      </w:r>
    </w:p>
    <w:p w:rsidR="00000000" w:rsidDel="00000000" w:rsidP="00000000" w:rsidRDefault="00000000" w:rsidRPr="00000000" w14:paraId="000000B4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Radar de Riesgo y Litigios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Monitor del TACRC (Tribunal Administrativo Central de Recursos Contractuales) y los tribunales autonómicos equivalentes: recursos interpuestos, resoluciones, tasas de éxito por tipo de impugnación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cuando un competidor impugna una licitación que afecta al cliente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Seguimiento de investigaciones de la CNMC sobre colusión en licitaciones públicas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Tracker de sentencias del TJUE sobre contratación pública con impacto en España</w:t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