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Hardened Audit and Reproducible</w:t>
        <w:br/>
        <w:t>Acumen/SSI Oracle Test Protocol</w:t>
      </w:r>
    </w:p>
    <w:p>
      <w:pPr>
        <w:jc w:val="center"/>
      </w:pPr>
      <w:r>
        <w:rPr>
          <w:b/>
        </w:rPr>
        <w:t>Process hardened-audit-v9-repository-gate-and-oracle-runner-hardening</w:t>
        <w:br/>
      </w:r>
      <w:r>
        <w:t>Current repository head reviewed: dcacbf4458f2049aeec01be345b32d1685dae27c</w:t>
        <w:br/>
        <w:t>Last documented green code head: 2dc369678dfc294db189d1bc706eba4ab02b752a</w:t>
      </w:r>
    </w:p>
    <w:p>
      <w:r>
        <w:br w:type="page"/>
      </w:r>
    </w:p>
    <w:p>
      <w:pPr>
        <w:pStyle w:val="Heading1"/>
      </w:pPr>
      <w:r>
        <w:t>Executive conclusion</w:t>
      </w:r>
    </w:p>
    <w:p>
      <w:r>
        <w:t>The hardened process passed 22 of 22 independent integrity checks. The project-library audit covers 436 extracted paths, 175 unique SHA-256 payloads, 40 native MPP files, 8 schedule XML files, 83 XLSX workbooks, 6 Acumen AFW workspaces, and all remaining reference formats.</w:t>
      </w:r>
    </w:p>
    <w:p>
      <w:r>
        <w:t>The process is internally verified, but the corpus is not fully readiness-green. Four SSI exports lack exact dated source snapshots; one AFW cannot identify one binary Project5_TAMPERED source; the current repository head was not locally executed; and the current updated4 24-hour MPP has not been semantically compared to the archived updated3 payload. These are hard blockers.</w:t>
      </w:r>
    </w:p>
    <w:tbl>
      <w:tblPr>
        <w:tblStyle w:val="TableGrid"/>
        <w:tblW w:type="auto" w:w="0"/>
        <w:jc w:val="center"/>
        <w:tblLook w:firstColumn="1" w:firstRow="1" w:lastColumn="0" w:lastRow="0" w:noHBand="0" w:noVBand="1" w:val="04A0"/>
      </w:tblPr>
      <w:tblGrid>
        <w:gridCol w:w="5184"/>
        <w:gridCol w:w="5184"/>
      </w:tblGrid>
      <w:tr>
        <w:trPr>
          <w:tblHeader w:val="true"/>
          <w:cantSplit w:val="true"/>
        </w:trPr>
        <w:tc>
          <w:tcPr>
            <w:tcW w:type="dxa" w:w="3600"/>
            <w:shd w:fill="44546A"/>
          </w:tcPr>
          <w:p>
            <w:r>
              <w:rPr>
                <w:b/>
                <w:color w:val="FFFFFF"/>
                <w:sz w:val="16"/>
              </w:rPr>
              <w:t>Measure</w:t>
            </w:r>
          </w:p>
        </w:tc>
        <w:tc>
          <w:tcPr>
            <w:tcW w:type="dxa" w:w="6480"/>
            <w:shd w:fill="44546A"/>
          </w:tcPr>
          <w:p>
            <w:r>
              <w:rPr>
                <w:b/>
                <w:color w:val="FFFFFF"/>
                <w:sz w:val="16"/>
              </w:rPr>
              <w:t>Result</w:t>
            </w:r>
          </w:p>
        </w:tc>
      </w:tr>
      <w:tr>
        <w:trPr>
          <w:cantSplit w:val="true"/>
        </w:trPr>
        <w:tc>
          <w:tcPr>
            <w:tcW w:type="dxa" w:w="3600"/>
            <w:vAlign w:val="top"/>
          </w:tcPr>
          <w:p>
            <w:pPr>
              <w:spacing w:after="0"/>
            </w:pPr>
            <w:r>
              <w:rPr>
                <w:sz w:val="16"/>
              </w:rPr>
              <w:t>Extracted paths / unique payloads</w:t>
            </w:r>
          </w:p>
        </w:tc>
        <w:tc>
          <w:tcPr>
            <w:tcW w:type="dxa" w:w="6480"/>
            <w:vAlign w:val="top"/>
          </w:tcPr>
          <w:p>
            <w:pPr>
              <w:spacing w:after="0"/>
            </w:pPr>
            <w:r>
              <w:rPr>
                <w:sz w:val="16"/>
              </w:rPr>
              <w:t>436 / 175</w:t>
            </w:r>
          </w:p>
        </w:tc>
      </w:tr>
      <w:tr>
        <w:trPr>
          <w:cantSplit w:val="true"/>
        </w:trPr>
        <w:tc>
          <w:tcPr>
            <w:tcW w:type="dxa" w:w="3600"/>
            <w:vAlign w:val="top"/>
          </w:tcPr>
          <w:p>
            <w:pPr>
              <w:spacing w:after="0"/>
            </w:pPr>
            <w:r>
              <w:rPr>
                <w:sz w:val="16"/>
              </w:rPr>
              <w:t>Schedules</w:t>
            </w:r>
          </w:p>
        </w:tc>
        <w:tc>
          <w:tcPr>
            <w:tcW w:type="dxa" w:w="6480"/>
            <w:vAlign w:val="top"/>
          </w:tcPr>
          <w:p>
            <w:pPr>
              <w:spacing w:after="0"/>
            </w:pPr>
            <w:r>
              <w:rPr>
                <w:sz w:val="16"/>
              </w:rPr>
              <w:t>40 MPP + 8 MSPDI schedule XML</w:t>
            </w:r>
          </w:p>
        </w:tc>
      </w:tr>
      <w:tr>
        <w:trPr>
          <w:cantSplit w:val="true"/>
        </w:trPr>
        <w:tc>
          <w:tcPr>
            <w:tcW w:type="dxa" w:w="3600"/>
            <w:vAlign w:val="top"/>
          </w:tcPr>
          <w:p>
            <w:pPr>
              <w:spacing w:after="0"/>
            </w:pPr>
            <w:r>
              <w:rPr>
                <w:sz w:val="16"/>
              </w:rPr>
              <w:t>Vendor outputs</w:t>
            </w:r>
          </w:p>
        </w:tc>
        <w:tc>
          <w:tcPr>
            <w:tcW w:type="dxa" w:w="6480"/>
            <w:vAlign w:val="top"/>
          </w:tcPr>
          <w:p>
            <w:pPr>
              <w:spacing w:after="0"/>
            </w:pPr>
            <w:r>
              <w:rPr>
                <w:sz w:val="16"/>
              </w:rPr>
              <w:t>56 Acumen XLSX + 19 SSI XLSX + 6 AFW</w:t>
            </w:r>
          </w:p>
        </w:tc>
      </w:tr>
      <w:tr>
        <w:trPr>
          <w:cantSplit w:val="true"/>
        </w:trPr>
        <w:tc>
          <w:tcPr>
            <w:tcW w:type="dxa" w:w="3600"/>
            <w:vAlign w:val="top"/>
          </w:tcPr>
          <w:p>
            <w:pPr>
              <w:spacing w:after="0"/>
            </w:pPr>
            <w:r>
              <w:rPr>
                <w:sz w:val="16"/>
              </w:rPr>
              <w:t>Independent checks</w:t>
            </w:r>
          </w:p>
        </w:tc>
        <w:tc>
          <w:tcPr>
            <w:tcW w:type="dxa" w:w="6480"/>
            <w:vAlign w:val="top"/>
          </w:tcPr>
          <w:p>
            <w:pPr>
              <w:spacing w:after="0"/>
            </w:pPr>
            <w:r>
              <w:rPr>
                <w:sz w:val="16"/>
              </w:rPr>
              <w:t>22/22 passed</w:t>
            </w:r>
          </w:p>
        </w:tc>
      </w:tr>
      <w:tr>
        <w:trPr>
          <w:cantSplit w:val="true"/>
        </w:trPr>
        <w:tc>
          <w:tcPr>
            <w:tcW w:type="dxa" w:w="3600"/>
            <w:vAlign w:val="top"/>
          </w:tcPr>
          <w:p>
            <w:pPr>
              <w:spacing w:after="0"/>
            </w:pPr>
            <w:r>
              <w:rPr>
                <w:sz w:val="16"/>
              </w:rPr>
              <w:t>Exact SSI source readiness</w:t>
            </w:r>
          </w:p>
        </w:tc>
        <w:tc>
          <w:tcPr>
            <w:tcW w:type="dxa" w:w="6480"/>
            <w:vAlign w:val="top"/>
          </w:tcPr>
          <w:p>
            <w:pPr>
              <w:spacing w:after="0"/>
            </w:pPr>
            <w:r>
              <w:rPr>
                <w:sz w:val="16"/>
              </w:rPr>
              <w:t>15/19</w:t>
            </w:r>
          </w:p>
        </w:tc>
      </w:tr>
      <w:tr>
        <w:trPr>
          <w:cantSplit w:val="true"/>
        </w:trPr>
        <w:tc>
          <w:tcPr>
            <w:tcW w:type="dxa" w:w="3600"/>
            <w:vAlign w:val="top"/>
          </w:tcPr>
          <w:p>
            <w:pPr>
              <w:spacing w:after="0"/>
            </w:pPr>
            <w:r>
              <w:rPr>
                <w:sz w:val="16"/>
              </w:rPr>
              <w:t>Exact AFW binary readiness</w:t>
            </w:r>
          </w:p>
        </w:tc>
        <w:tc>
          <w:tcPr>
            <w:tcW w:type="dxa" w:w="6480"/>
            <w:vAlign w:val="top"/>
          </w:tcPr>
          <w:p>
            <w:pPr>
              <w:spacing w:after="0"/>
            </w:pPr>
            <w:r>
              <w:rPr>
                <w:sz w:val="16"/>
              </w:rPr>
              <w:t>5/6</w:t>
            </w:r>
          </w:p>
        </w:tc>
      </w:tr>
      <w:tr>
        <w:trPr>
          <w:cantSplit w:val="true"/>
        </w:trPr>
        <w:tc>
          <w:tcPr>
            <w:tcW w:type="dxa" w:w="3600"/>
            <w:vAlign w:val="top"/>
          </w:tcPr>
          <w:p>
            <w:pPr>
              <w:spacing w:after="0"/>
            </w:pPr>
            <w:r>
              <w:rPr>
                <w:sz w:val="16"/>
              </w:rPr>
              <w:t>Current repository full gate</w:t>
            </w:r>
          </w:p>
        </w:tc>
        <w:tc>
          <w:tcPr>
            <w:tcW w:type="dxa" w:w="6480"/>
            <w:vAlign w:val="top"/>
          </w:tcPr>
          <w:p>
            <w:pPr>
              <w:spacing w:after="0"/>
            </w:pPr>
            <w:r>
              <w:rPr>
                <w:sz w:val="16"/>
              </w:rPr>
              <w:t>Not executed in this runtime</w:t>
            </w:r>
          </w:p>
        </w:tc>
      </w:tr>
    </w:tbl>
    <w:p/>
    <w:p>
      <w:pPr>
        <w:pStyle w:val="Heading1"/>
      </w:pPr>
      <w:r>
        <w:t>Weaknesses found and hardened controls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val="true"/>
        </w:trPr>
        <w:tc>
          <w:tcPr>
            <w:tcW w:type="dxa" w:w="504"/>
            <w:shd w:fill="44546A"/>
          </w:tcPr>
          <w:p>
            <w:r>
              <w:rPr>
                <w:b/>
                <w:color w:val="FFFFFF"/>
                <w:sz w:val="16"/>
              </w:rPr>
              <w:t>#</w:t>
            </w:r>
          </w:p>
        </w:tc>
        <w:tc>
          <w:tcPr>
            <w:tcW w:type="dxa" w:w="3240"/>
            <w:shd w:fill="44546A"/>
          </w:tcPr>
          <w:p>
            <w:r>
              <w:rPr>
                <w:b/>
                <w:color w:val="FFFFFF"/>
                <w:sz w:val="16"/>
              </w:rPr>
              <w:t>Weakness</w:t>
            </w:r>
          </w:p>
        </w:tc>
        <w:tc>
          <w:tcPr>
            <w:tcW w:type="dxa" w:w="3672"/>
            <w:shd w:fill="44546A"/>
          </w:tcPr>
          <w:p>
            <w:r>
              <w:rPr>
                <w:b/>
                <w:color w:val="FFFFFF"/>
                <w:sz w:val="16"/>
              </w:rPr>
              <w:t>Control</w:t>
            </w:r>
          </w:p>
        </w:tc>
        <w:tc>
          <w:tcPr>
            <w:tcW w:type="dxa" w:w="3456"/>
            <w:shd w:fill="44546A"/>
          </w:tcPr>
          <w:p>
            <w:r>
              <w:rPr>
                <w:b/>
                <w:color w:val="FFFFFF"/>
                <w:sz w:val="16"/>
              </w:rPr>
              <w:t>Verification</w:t>
            </w:r>
          </w:p>
        </w:tc>
      </w:tr>
      <w:tr>
        <w:trPr>
          <w:cantSplit w:val="true"/>
        </w:trPr>
        <w:tc>
          <w:tcPr>
            <w:tcW w:type="dxa" w:w="504"/>
            <w:vAlign w:val="top"/>
          </w:tcPr>
          <w:p>
            <w:pPr>
              <w:spacing w:after="0"/>
            </w:pPr>
            <w:r>
              <w:rPr>
                <w:sz w:val="16"/>
              </w:rPr>
              <w:t>1</w:t>
            </w:r>
          </w:p>
        </w:tc>
        <w:tc>
          <w:tcPr>
            <w:tcW w:type="dxa" w:w="3240"/>
            <w:vAlign w:val="top"/>
          </w:tcPr>
          <w:p>
            <w:pPr>
              <w:spacing w:after="0"/>
            </w:pPr>
            <w:r>
              <w:rPr>
                <w:sz w:val="16"/>
              </w:rPr>
              <w:t>Filename/folder inference can create false associations.</w:t>
            </w:r>
          </w:p>
        </w:tc>
        <w:tc>
          <w:tcPr>
            <w:tcW w:type="dxa" w:w="3672"/>
            <w:vAlign w:val="top"/>
          </w:tcPr>
          <w:p>
            <w:pPr>
              <w:spacing w:after="0"/>
            </w:pPr>
            <w:r>
              <w:rPr>
                <w:sz w:val="16"/>
              </w:rPr>
              <w:t>Associations require embedded project/version labels, exact UID/name/date reproduction, or explicit AFW serialized file references. Folder/name similarity alone is prohibited.</w:t>
            </w:r>
          </w:p>
        </w:tc>
        <w:tc>
          <w:tcPr>
            <w:tcW w:type="dxa" w:w="3456"/>
            <w:vAlign w:val="top"/>
          </w:tcPr>
          <w:p>
            <w:pPr>
              <w:spacing w:after="0"/>
            </w:pPr>
            <w:r>
              <w:rPr>
                <w:sz w:val="16"/>
              </w:rPr>
              <w:t>No association has source_resolution=heuristic_only; all 81 vendor-oracle containers are evidence-linked.</w:t>
            </w:r>
          </w:p>
        </w:tc>
      </w:tr>
      <w:tr>
        <w:trPr>
          <w:cantSplit w:val="true"/>
        </w:trPr>
        <w:tc>
          <w:tcPr>
            <w:tcW w:type="dxa" w:w="504"/>
            <w:vAlign w:val="top"/>
          </w:tcPr>
          <w:p>
            <w:pPr>
              <w:spacing w:after="0"/>
            </w:pPr>
            <w:r>
              <w:rPr>
                <w:sz w:val="16"/>
              </w:rPr>
              <w:t>2</w:t>
            </w:r>
          </w:p>
        </w:tc>
        <w:tc>
          <w:tcPr>
            <w:tcW w:type="dxa" w:w="3240"/>
            <w:vAlign w:val="top"/>
          </w:tcPr>
          <w:p>
            <w:pPr>
              <w:spacing w:after="0"/>
            </w:pPr>
            <w:r>
              <w:rPr>
                <w:sz w:val="16"/>
              </w:rPr>
              <w:t>A same filename can represent several distinct binary schedules.</w:t>
            </w:r>
          </w:p>
        </w:tc>
        <w:tc>
          <w:tcPr>
            <w:tcW w:type="dxa" w:w="3672"/>
            <w:vAlign w:val="top"/>
          </w:tcPr>
          <w:p>
            <w:pPr>
              <w:spacing w:after="0"/>
            </w:pPr>
            <w:r>
              <w:rPr>
                <w:sz w:val="16"/>
              </w:rPr>
              <w:t>Use SHA-256 as binary identity and record schedule-equivalence classes separately from binary identity.</w:t>
            </w:r>
          </w:p>
        </w:tc>
        <w:tc>
          <w:tcPr>
            <w:tcW w:type="dxa" w:w="3456"/>
            <w:vAlign w:val="top"/>
          </w:tcPr>
          <w:p>
            <w:pPr>
              <w:spacing w:after="0"/>
            </w:pPr>
            <w:r>
              <w:rPr>
                <w:sz w:val="16"/>
              </w:rPr>
              <w:t>11 source-equivalence classes are explicit; AFW exact-binary gate correctly fails 5/6.</w:t>
            </w:r>
          </w:p>
        </w:tc>
      </w:tr>
      <w:tr>
        <w:trPr>
          <w:cantSplit w:val="true"/>
        </w:trPr>
        <w:tc>
          <w:tcPr>
            <w:tcW w:type="dxa" w:w="504"/>
            <w:vAlign w:val="top"/>
          </w:tcPr>
          <w:p>
            <w:pPr>
              <w:spacing w:after="0"/>
            </w:pPr>
            <w:r>
              <w:rPr>
                <w:sz w:val="16"/>
              </w:rPr>
              <w:t>3</w:t>
            </w:r>
          </w:p>
        </w:tc>
        <w:tc>
          <w:tcPr>
            <w:tcW w:type="dxa" w:w="3240"/>
            <w:vAlign w:val="top"/>
          </w:tcPr>
          <w:p>
            <w:pPr>
              <w:spacing w:after="0"/>
            </w:pPr>
            <w:r>
              <w:rPr>
                <w:sz w:val="16"/>
              </w:rPr>
              <w:t>A re-saved MPP can change bytes without changing schedule semantics, or change semantics silently.</w:t>
            </w:r>
          </w:p>
        </w:tc>
        <w:tc>
          <w:tcPr>
            <w:tcW w:type="dxa" w:w="3672"/>
            <w:vAlign w:val="top"/>
          </w:tcPr>
          <w:p>
            <w:pPr>
              <w:spacing w:after="0"/>
            </w:pPr>
            <w:r>
              <w:rPr>
                <w:sz w:val="16"/>
              </w:rPr>
              <w:t>Compare semantic task, logic, calendar, resource, assignment, property, and combined fingerprints; never treat a Git rename as semantic equivalence.</w:t>
            </w:r>
          </w:p>
        </w:tc>
        <w:tc>
          <w:tcPr>
            <w:tcW w:type="dxa" w:w="3456"/>
            <w:vAlign w:val="top"/>
          </w:tcPr>
          <w:p>
            <w:pPr>
              <w:spacing w:after="0"/>
            </w:pPr>
            <w:r>
              <w:rPr>
                <w:sz w:val="16"/>
              </w:rPr>
              <w:t>updated4 24-hour file remains UNVERIFIED because current binary was unavailable; no equivalence claim is made.</w:t>
            </w:r>
          </w:p>
        </w:tc>
      </w:tr>
      <w:tr>
        <w:trPr>
          <w:cantSplit w:val="true"/>
        </w:trPr>
        <w:tc>
          <w:tcPr>
            <w:tcW w:type="dxa" w:w="504"/>
            <w:vAlign w:val="top"/>
          </w:tcPr>
          <w:p>
            <w:pPr>
              <w:spacing w:after="0"/>
            </w:pPr>
            <w:r>
              <w:rPr>
                <w:sz w:val="16"/>
              </w:rPr>
              <w:t>4</w:t>
            </w:r>
          </w:p>
        </w:tc>
        <w:tc>
          <w:tcPr>
            <w:tcW w:type="dxa" w:w="3240"/>
            <w:vAlign w:val="top"/>
          </w:tcPr>
          <w:p>
            <w:pPr>
              <w:spacing w:after="0"/>
            </w:pPr>
            <w:r>
              <w:rPr>
                <w:sz w:val="16"/>
              </w:rPr>
              <w:t>Spreadsheet filenames and visible report titles can be stale or misleading.</w:t>
            </w:r>
          </w:p>
        </w:tc>
        <w:tc>
          <w:tcPr>
            <w:tcW w:type="dxa" w:w="3672"/>
            <w:vAlign w:val="top"/>
          </w:tcPr>
          <w:p>
            <w:pPr>
              <w:spacing w:after="0"/>
            </w:pPr>
            <w:r>
              <w:rPr>
                <w:sz w:val="16"/>
              </w:rPr>
              <w:t>Read every populated cell, formulas, workbook relationships, core properties, project strings, date strings, sheet structures, and vendor-specific rows.</w:t>
            </w:r>
          </w:p>
        </w:tc>
        <w:tc>
          <w:tcPr>
            <w:tcW w:type="dxa" w:w="3456"/>
            <w:vAlign w:val="top"/>
          </w:tcPr>
          <w:p>
            <w:pPr>
              <w:spacing w:after="0"/>
            </w:pPr>
            <w:r>
              <w:rPr>
                <w:sz w:val="16"/>
              </w:rPr>
              <w:t>83/83 XLSX scanned; 3,909,788 cells and formula digests recorded.</w:t>
            </w:r>
          </w:p>
        </w:tc>
      </w:tr>
      <w:tr>
        <w:trPr>
          <w:cantSplit w:val="true"/>
        </w:trPr>
        <w:tc>
          <w:tcPr>
            <w:tcW w:type="dxa" w:w="504"/>
            <w:vAlign w:val="top"/>
          </w:tcPr>
          <w:p>
            <w:pPr>
              <w:spacing w:after="0"/>
            </w:pPr>
            <w:r>
              <w:rPr>
                <w:sz w:val="16"/>
              </w:rPr>
              <w:t>5</w:t>
            </w:r>
          </w:p>
        </w:tc>
        <w:tc>
          <w:tcPr>
            <w:tcW w:type="dxa" w:w="3240"/>
            <w:vAlign w:val="top"/>
          </w:tcPr>
          <w:p>
            <w:pPr>
              <w:spacing w:after="0"/>
            </w:pPr>
            <w:r>
              <w:rPr>
                <w:sz w:val="16"/>
              </w:rPr>
              <w:t>A worksheet can contain multiple project versions.</w:t>
            </w:r>
          </w:p>
        </w:tc>
        <w:tc>
          <w:tcPr>
            <w:tcW w:type="dxa" w:w="3672"/>
            <w:vAlign w:val="top"/>
          </w:tcPr>
          <w:p>
            <w:pPr>
              <w:spacing w:after="0"/>
            </w:pPr>
            <w:r>
              <w:rPr>
                <w:sz w:val="16"/>
              </w:rPr>
              <w:t>Model one oracle container to many schedule associations and retain version-specific labels/status dates.</w:t>
            </w:r>
          </w:p>
        </w:tc>
        <w:tc>
          <w:tcPr>
            <w:tcW w:type="dxa" w:w="3456"/>
            <w:vAlign w:val="top"/>
          </w:tcPr>
          <w:p>
            <w:pPr>
              <w:spacing w:after="0"/>
            </w:pPr>
            <w:r>
              <w:rPr>
                <w:sz w:val="16"/>
              </w:rPr>
              <w:t>Acumen multi-project reports create multiple evidence edges rather than one guessed source.</w:t>
            </w:r>
          </w:p>
        </w:tc>
      </w:tr>
      <w:tr>
        <w:trPr>
          <w:cantSplit w:val="true"/>
        </w:trPr>
        <w:tc>
          <w:tcPr>
            <w:tcW w:type="dxa" w:w="504"/>
            <w:vAlign w:val="top"/>
          </w:tcPr>
          <w:p>
            <w:pPr>
              <w:spacing w:after="0"/>
            </w:pPr>
            <w:r>
              <w:rPr>
                <w:sz w:val="16"/>
              </w:rPr>
              <w:t>6</w:t>
            </w:r>
          </w:p>
        </w:tc>
        <w:tc>
          <w:tcPr>
            <w:tcW w:type="dxa" w:w="3240"/>
            <w:vAlign w:val="top"/>
          </w:tcPr>
          <w:p>
            <w:pPr>
              <w:spacing w:after="0"/>
            </w:pPr>
            <w:r>
              <w:rPr>
                <w:sz w:val="16"/>
              </w:rPr>
              <w:t>SSI rows can match UIDs/names but not scheduled dates.</w:t>
            </w:r>
          </w:p>
        </w:tc>
        <w:tc>
          <w:tcPr>
            <w:tcW w:type="dxa" w:w="3672"/>
            <w:vAlign w:val="top"/>
          </w:tcPr>
          <w:p>
            <w:pPr>
              <w:spacing w:after="0"/>
            </w:pPr>
            <w:r>
              <w:rPr>
                <w:sz w:val="16"/>
              </w:rPr>
              <w:t>Require independent Start and Finish date reproduction for exact source status; classify lower matches as probable or structural-only.</w:t>
            </w:r>
          </w:p>
        </w:tc>
        <w:tc>
          <w:tcPr>
            <w:tcW w:type="dxa" w:w="3456"/>
            <w:vAlign w:val="top"/>
          </w:tcPr>
          <w:p>
            <w:pPr>
              <w:spacing w:after="0"/>
            </w:pPr>
            <w:r>
              <w:rPr>
                <w:sz w:val="16"/>
              </w:rPr>
              <w:t>15/19 SSI workbooks pass &gt;=99.5% exact date match; four are explicitly blocked from exact parity.</w:t>
            </w:r>
          </w:p>
        </w:tc>
      </w:tr>
      <w:tr>
        <w:trPr>
          <w:cantSplit w:val="true"/>
        </w:trPr>
        <w:tc>
          <w:tcPr>
            <w:tcW w:type="dxa" w:w="504"/>
            <w:vAlign w:val="top"/>
          </w:tcPr>
          <w:p>
            <w:pPr>
              <w:spacing w:after="0"/>
            </w:pPr>
            <w:r>
              <w:rPr>
                <w:sz w:val="16"/>
              </w:rPr>
              <w:t>7</w:t>
            </w:r>
          </w:p>
        </w:tc>
        <w:tc>
          <w:tcPr>
            <w:tcW w:type="dxa" w:w="3240"/>
            <w:vAlign w:val="top"/>
          </w:tcPr>
          <w:p>
            <w:pPr>
              <w:spacing w:after="0"/>
            </w:pPr>
            <w:r>
              <w:rPr>
                <w:sz w:val="16"/>
              </w:rPr>
              <w:t>MPP-to-MSPDI XML exports are lossy.</w:t>
            </w:r>
          </w:p>
        </w:tc>
        <w:tc>
          <w:tcPr>
            <w:tcW w:type="dxa" w:w="3672"/>
            <w:vAlign w:val="top"/>
          </w:tcPr>
          <w:p>
            <w:pPr>
              <w:spacing w:after="0"/>
            </w:pPr>
            <w:r>
              <w:rPr>
                <w:sz w:val="16"/>
              </w:rPr>
              <w:t>Use XML only for logic/task portability tests; retain MPP for calendars, resources, assignments, stored critical/slack, and project properties.</w:t>
            </w:r>
          </w:p>
        </w:tc>
        <w:tc>
          <w:tcPr>
            <w:tcW w:type="dxa" w:w="3456"/>
            <w:vAlign w:val="top"/>
          </w:tcPr>
          <w:p>
            <w:pPr>
              <w:spacing w:after="0"/>
            </w:pPr>
            <w:r>
              <w:rPr>
                <w:sz w:val="16"/>
              </w:rPr>
              <w:t>13/13 same-stem pairs have exact logic fingerprints, while field-loss differences remain documented.</w:t>
            </w:r>
          </w:p>
        </w:tc>
      </w:tr>
      <w:tr>
        <w:trPr>
          <w:cantSplit w:val="true"/>
        </w:trPr>
        <w:tc>
          <w:tcPr>
            <w:tcW w:type="dxa" w:w="504"/>
            <w:vAlign w:val="top"/>
          </w:tcPr>
          <w:p>
            <w:pPr>
              <w:spacing w:after="0"/>
            </w:pPr>
            <w:r>
              <w:rPr>
                <w:sz w:val="16"/>
              </w:rPr>
              <w:t>8</w:t>
            </w:r>
          </w:p>
        </w:tc>
        <w:tc>
          <w:tcPr>
            <w:tcW w:type="dxa" w:w="3240"/>
            <w:vAlign w:val="top"/>
          </w:tcPr>
          <w:p>
            <w:pPr>
              <w:spacing w:after="0"/>
            </w:pPr>
            <w:r>
              <w:rPr>
                <w:sz w:val="16"/>
              </w:rPr>
              <w:t>Acumen display name alone is not a metric identity.</w:t>
            </w:r>
          </w:p>
        </w:tc>
        <w:tc>
          <w:tcPr>
            <w:tcW w:type="dxa" w:w="3672"/>
            <w:vAlign w:val="top"/>
          </w:tcPr>
          <w:p>
            <w:pPr>
              <w:spacing w:after="0"/>
            </w:pPr>
            <w:r>
              <w:rPr>
                <w:sz w:val="16"/>
              </w:rPr>
              <w:t>Key metrics by library/group/GUID/version and preserve Primary, Secondary, Tripwire, filters, thresholds, columns, and detailed-report options independently.</w:t>
            </w:r>
          </w:p>
        </w:tc>
        <w:tc>
          <w:tcPr>
            <w:tcW w:type="dxa" w:w="3456"/>
            <w:vAlign w:val="top"/>
          </w:tcPr>
          <w:p>
            <w:pPr>
              <w:spacing w:after="0"/>
            </w:pPr>
            <w:r>
              <w:rPr>
                <w:sz w:val="16"/>
              </w:rPr>
              <w:t>AFT architecture and Missing Logic variants are represented in the formula audit and protocol.</w:t>
            </w:r>
          </w:p>
        </w:tc>
      </w:tr>
      <w:tr>
        <w:trPr>
          <w:cantSplit w:val="true"/>
        </w:trPr>
        <w:tc>
          <w:tcPr>
            <w:tcW w:type="dxa" w:w="504"/>
            <w:vAlign w:val="top"/>
          </w:tcPr>
          <w:p>
            <w:pPr>
              <w:spacing w:after="0"/>
            </w:pPr>
            <w:r>
              <w:rPr>
                <w:sz w:val="16"/>
              </w:rPr>
              <w:t>9</w:t>
            </w:r>
          </w:p>
        </w:tc>
        <w:tc>
          <w:tcPr>
            <w:tcW w:type="dxa" w:w="3240"/>
            <w:vAlign w:val="top"/>
          </w:tcPr>
          <w:p>
            <w:pPr>
              <w:spacing w:after="0"/>
            </w:pPr>
            <w:r>
              <w:rPr>
                <w:sz w:val="16"/>
              </w:rPr>
              <w:t>Headline equality can hide offender-list or denominator mismatches.</w:t>
            </w:r>
          </w:p>
        </w:tc>
        <w:tc>
          <w:tcPr>
            <w:tcW w:type="dxa" w:w="3672"/>
            <w:vAlign w:val="top"/>
          </w:tcPr>
          <w:p>
            <w:pPr>
              <w:spacing w:after="0"/>
            </w:pPr>
            <w:r>
              <w:rPr>
                <w:sz w:val="16"/>
              </w:rPr>
              <w:t>Oracle contract compares value, count, population, status, offender UID set, row order where relevant, and threshold band separately.</w:t>
            </w:r>
          </w:p>
        </w:tc>
        <w:tc>
          <w:tcPr>
            <w:tcW w:type="dxa" w:w="3456"/>
            <w:vAlign w:val="top"/>
          </w:tcPr>
          <w:p>
            <w:pPr>
              <w:spacing w:after="0"/>
            </w:pPr>
            <w:r>
              <w:rPr>
                <w:sz w:val="16"/>
              </w:rPr>
              <w:t>Test-case schema requires granular expected artifacts, not only headline values.</w:t>
            </w:r>
          </w:p>
        </w:tc>
      </w:tr>
      <w:tr>
        <w:trPr>
          <w:cantSplit w:val="true"/>
        </w:trPr>
        <w:tc>
          <w:tcPr>
            <w:tcW w:type="dxa" w:w="504"/>
            <w:vAlign w:val="top"/>
          </w:tcPr>
          <w:p>
            <w:pPr>
              <w:spacing w:after="0"/>
            </w:pPr>
            <w:r>
              <w:rPr>
                <w:sz w:val="16"/>
              </w:rPr>
              <w:t>10</w:t>
            </w:r>
          </w:p>
        </w:tc>
        <w:tc>
          <w:tcPr>
            <w:tcW w:type="dxa" w:w="3240"/>
            <w:vAlign w:val="top"/>
          </w:tcPr>
          <w:p>
            <w:pPr>
              <w:spacing w:after="0"/>
            </w:pPr>
            <w:r>
              <w:rPr>
                <w:sz w:val="16"/>
              </w:rPr>
              <w:t>Floating-point and date-format differences can create unstable comparisons.</w:t>
            </w:r>
          </w:p>
        </w:tc>
        <w:tc>
          <w:tcPr>
            <w:tcW w:type="dxa" w:w="3672"/>
            <w:vAlign w:val="top"/>
          </w:tcPr>
          <w:p>
            <w:pPr>
              <w:spacing w:after="0"/>
            </w:pPr>
            <w:r>
              <w:rPr>
                <w:sz w:val="16"/>
              </w:rPr>
              <w:t>Canonicalize datetimes, use integer working minutes where possible, Decimal/ROUND_HALF_UP at presentation, and explicit field-specific tolerances.</w:t>
            </w:r>
          </w:p>
        </w:tc>
        <w:tc>
          <w:tcPr>
            <w:tcW w:type="dxa" w:w="3456"/>
            <w:vAlign w:val="top"/>
          </w:tcPr>
          <w:p>
            <w:pPr>
              <w:spacing w:after="0"/>
            </w:pPr>
            <w:r>
              <w:rPr>
                <w:sz w:val="16"/>
              </w:rPr>
              <w:t>Comparison contract in V9 records exact/tolerant fields and N/A semantics.</w:t>
            </w:r>
          </w:p>
        </w:tc>
      </w:tr>
      <w:tr>
        <w:trPr>
          <w:cantSplit w:val="true"/>
        </w:trPr>
        <w:tc>
          <w:tcPr>
            <w:tcW w:type="dxa" w:w="504"/>
            <w:vAlign w:val="top"/>
          </w:tcPr>
          <w:p>
            <w:pPr>
              <w:spacing w:after="0"/>
            </w:pPr>
            <w:r>
              <w:rPr>
                <w:sz w:val="16"/>
              </w:rPr>
              <w:t>11</w:t>
            </w:r>
          </w:p>
        </w:tc>
        <w:tc>
          <w:tcPr>
            <w:tcW w:type="dxa" w:w="3240"/>
            <w:vAlign w:val="top"/>
          </w:tcPr>
          <w:p>
            <w:pPr>
              <w:spacing w:after="0"/>
            </w:pPr>
            <w:r>
              <w:rPr>
                <w:sz w:val="16"/>
              </w:rPr>
              <w:t>A single parser implementation can validate its own error.</w:t>
            </w:r>
          </w:p>
        </w:tc>
        <w:tc>
          <w:tcPr>
            <w:tcW w:type="dxa" w:w="3672"/>
            <w:vAlign w:val="top"/>
          </w:tcPr>
          <w:p>
            <w:pPr>
              <w:spacing w:after="0"/>
            </w:pPr>
            <w:r>
              <w:rPr>
                <w:sz w:val="16"/>
              </w:rPr>
              <w:t>Independent verification uses raw ZIP/XML counts, SHA-256/CRC, MPXJ semantic fingerprints, and cross-tool oracle evidence.</w:t>
            </w:r>
          </w:p>
        </w:tc>
        <w:tc>
          <w:tcPr>
            <w:tcW w:type="dxa" w:w="3456"/>
            <w:vAlign w:val="top"/>
          </w:tcPr>
          <w:p>
            <w:pPr>
              <w:spacing w:after="0"/>
            </w:pPr>
            <w:r>
              <w:rPr>
                <w:sz w:val="16"/>
              </w:rPr>
              <w:t>HARDENED_VERIFICATION_RESULT_V9.json records independent controls.</w:t>
            </w:r>
          </w:p>
        </w:tc>
      </w:tr>
      <w:tr>
        <w:trPr>
          <w:cantSplit w:val="true"/>
        </w:trPr>
        <w:tc>
          <w:tcPr>
            <w:tcW w:type="dxa" w:w="504"/>
            <w:vAlign w:val="top"/>
          </w:tcPr>
          <w:p>
            <w:pPr>
              <w:spacing w:after="0"/>
            </w:pPr>
            <w:r>
              <w:rPr>
                <w:sz w:val="16"/>
              </w:rPr>
              <w:t>12</w:t>
            </w:r>
          </w:p>
        </w:tc>
        <w:tc>
          <w:tcPr>
            <w:tcW w:type="dxa" w:w="3240"/>
            <w:vAlign w:val="top"/>
          </w:tcPr>
          <w:p>
            <w:pPr>
              <w:spacing w:after="0"/>
            </w:pPr>
            <w:r>
              <w:rPr>
                <w:sz w:val="16"/>
              </w:rPr>
              <w:t>Cached analysis can conceal source changes.</w:t>
            </w:r>
          </w:p>
        </w:tc>
        <w:tc>
          <w:tcPr>
            <w:tcW w:type="dxa" w:w="3672"/>
            <w:vAlign w:val="top"/>
          </w:tcPr>
          <w:p>
            <w:pPr>
              <w:spacing w:after="0"/>
            </w:pPr>
            <w:r>
              <w:rPr>
                <w:sz w:val="16"/>
              </w:rPr>
              <w:t>Cache keys include file SHA-256 and engine version; hardened audit independently recomputes source hashes before accepting cached metadata.</w:t>
            </w:r>
          </w:p>
        </w:tc>
        <w:tc>
          <w:tcPr>
            <w:tcW w:type="dxa" w:w="3456"/>
            <w:vAlign w:val="top"/>
          </w:tcPr>
          <w:p>
            <w:pPr>
              <w:spacing w:after="0"/>
            </w:pPr>
            <w:r>
              <w:rPr>
                <w:sz w:val="16"/>
              </w:rPr>
              <w:t>All canonical and alias hashes are rechecked by verify_hardened_v9.py.</w:t>
            </w:r>
          </w:p>
        </w:tc>
      </w:tr>
      <w:tr>
        <w:trPr>
          <w:cantSplit w:val="true"/>
        </w:trPr>
        <w:tc>
          <w:tcPr>
            <w:tcW w:type="dxa" w:w="504"/>
            <w:vAlign w:val="top"/>
          </w:tcPr>
          <w:p>
            <w:pPr>
              <w:spacing w:after="0"/>
            </w:pPr>
            <w:r>
              <w:rPr>
                <w:sz w:val="16"/>
              </w:rPr>
              <w:t>13</w:t>
            </w:r>
          </w:p>
        </w:tc>
        <w:tc>
          <w:tcPr>
            <w:tcW w:type="dxa" w:w="3240"/>
            <w:vAlign w:val="top"/>
          </w:tcPr>
          <w:p>
            <w:pPr>
              <w:spacing w:after="0"/>
            </w:pPr>
            <w:r>
              <w:rPr>
                <w:sz w:val="16"/>
              </w:rPr>
              <w:t>Repository documentation may describe a prior code head while reference uploads advance main.</w:t>
            </w:r>
          </w:p>
        </w:tc>
        <w:tc>
          <w:tcPr>
            <w:tcW w:type="dxa" w:w="3672"/>
            <w:vAlign w:val="top"/>
          </w:tcPr>
          <w:p>
            <w:pPr>
              <w:spacing w:after="0"/>
            </w:pPr>
            <w:r>
              <w:rPr>
                <w:sz w:val="16"/>
              </w:rPr>
              <w:t>Track code-audited head separately from current repository head; rerun the full gate after every reference-only upload.</w:t>
            </w:r>
          </w:p>
        </w:tc>
        <w:tc>
          <w:tcPr>
            <w:tcW w:type="dxa" w:w="3456"/>
            <w:vAlign w:val="top"/>
          </w:tcPr>
          <w:p>
            <w:pPr>
              <w:spacing w:after="0"/>
            </w:pPr>
            <w:r>
              <w:rPr>
                <w:sz w:val="16"/>
              </w:rPr>
              <w:t>Current reference-upload head has no connector-visible workflow run and is marked unexecuted.</w:t>
            </w:r>
          </w:p>
        </w:tc>
      </w:tr>
      <w:tr>
        <w:trPr>
          <w:cantSplit w:val="true"/>
        </w:trPr>
        <w:tc>
          <w:tcPr>
            <w:tcW w:type="dxa" w:w="504"/>
            <w:vAlign w:val="top"/>
          </w:tcPr>
          <w:p>
            <w:pPr>
              <w:spacing w:after="0"/>
            </w:pPr>
            <w:r>
              <w:rPr>
                <w:sz w:val="16"/>
              </w:rPr>
              <w:t>14</w:t>
            </w:r>
          </w:p>
        </w:tc>
        <w:tc>
          <w:tcPr>
            <w:tcW w:type="dxa" w:w="3240"/>
            <w:vAlign w:val="top"/>
          </w:tcPr>
          <w:p>
            <w:pPr>
              <w:spacing w:after="0"/>
            </w:pPr>
            <w:r>
              <w:rPr>
                <w:sz w:val="16"/>
              </w:rPr>
              <w:t>The repository cannot be exhaustively executed from an environment without a checkout/network.</w:t>
            </w:r>
          </w:p>
        </w:tc>
        <w:tc>
          <w:tcPr>
            <w:tcW w:type="dxa" w:w="3672"/>
            <w:vAlign w:val="top"/>
          </w:tcPr>
          <w:p>
            <w:pPr>
              <w:spacing w:after="0"/>
            </w:pPr>
            <w:r>
              <w:rPr>
                <w:sz w:val="16"/>
              </w:rPr>
              <w:t>Ship a repo-local audit script and matrix runner that Claude Code executes inside the repository; external review is not represented as a local full-gate run.</w:t>
            </w:r>
          </w:p>
        </w:tc>
        <w:tc>
          <w:tcPr>
            <w:tcW w:type="dxa" w:w="3456"/>
            <w:vAlign w:val="top"/>
          </w:tcPr>
          <w:p>
            <w:pPr>
              <w:spacing w:after="0"/>
            </w:pPr>
            <w:r>
              <w:rPr>
                <w:sz w:val="16"/>
              </w:rPr>
              <w:t>Repository execution gate remains failed until the generated script is run in the repo.</w:t>
            </w:r>
          </w:p>
        </w:tc>
      </w:tr>
      <w:tr>
        <w:trPr>
          <w:cantSplit w:val="true"/>
        </w:trPr>
        <w:tc>
          <w:tcPr>
            <w:tcW w:type="dxa" w:w="504"/>
            <w:vAlign w:val="top"/>
          </w:tcPr>
          <w:p>
            <w:pPr>
              <w:spacing w:after="0"/>
            </w:pPr>
            <w:r>
              <w:rPr>
                <w:sz w:val="16"/>
              </w:rPr>
              <w:t>15</w:t>
            </w:r>
          </w:p>
        </w:tc>
        <w:tc>
          <w:tcPr>
            <w:tcW w:type="dxa" w:w="3240"/>
            <w:vAlign w:val="top"/>
          </w:tcPr>
          <w:p>
            <w:pPr>
              <w:spacing w:after="0"/>
            </w:pPr>
            <w:r>
              <w:rPr>
                <w:sz w:val="16"/>
              </w:rPr>
              <w:t>Vendor stochastic outputs may not be bit-exact because RNG/seed/correlation implementation is proprietary.</w:t>
            </w:r>
          </w:p>
        </w:tc>
        <w:tc>
          <w:tcPr>
            <w:tcW w:type="dxa" w:w="3672"/>
            <w:vAlign w:val="top"/>
          </w:tcPr>
          <w:p>
            <w:pPr>
              <w:spacing w:after="0"/>
            </w:pPr>
            <w:r>
              <w:rPr>
                <w:sz w:val="16"/>
              </w:rPr>
              <w:t>Separate deterministic formula/OAT checks from distributional SRA checks; require fixed seed/config and statistical acceptance bands for Monte Carlo.</w:t>
            </w:r>
          </w:p>
        </w:tc>
        <w:tc>
          <w:tcPr>
            <w:tcW w:type="dxa" w:w="3456"/>
            <w:vAlign w:val="top"/>
          </w:tcPr>
          <w:p>
            <w:pPr>
              <w:spacing w:after="0"/>
            </w:pPr>
            <w:r>
              <w:rPr>
                <w:sz w:val="16"/>
              </w:rPr>
              <w:t>Protocol distinguishes exact deterministic parity from statistical distribution parity.</w:t>
            </w:r>
          </w:p>
        </w:tc>
      </w:tr>
      <w:tr>
        <w:trPr>
          <w:cantSplit w:val="true"/>
        </w:trPr>
        <w:tc>
          <w:tcPr>
            <w:tcW w:type="dxa" w:w="504"/>
            <w:vAlign w:val="top"/>
          </w:tcPr>
          <w:p>
            <w:pPr>
              <w:spacing w:after="0"/>
            </w:pPr>
            <w:r>
              <w:rPr>
                <w:sz w:val="16"/>
              </w:rPr>
              <w:t>16</w:t>
            </w:r>
          </w:p>
        </w:tc>
        <w:tc>
          <w:tcPr>
            <w:tcW w:type="dxa" w:w="3240"/>
            <w:vAlign w:val="top"/>
          </w:tcPr>
          <w:p>
            <w:pPr>
              <w:spacing w:after="0"/>
            </w:pPr>
            <w:r>
              <w:rPr>
                <w:sz w:val="16"/>
              </w:rPr>
              <w:t>The original combined semantic fingerprint included MPXJ ProjectProperties.CurrentDate, a read-time value that changed on every parse and made all 48 schedules look non-repeatable.</w:t>
            </w:r>
          </w:p>
        </w:tc>
        <w:tc>
          <w:tcPr>
            <w:tcW w:type="dxa" w:w="3672"/>
            <w:vAlign w:val="top"/>
          </w:tcPr>
          <w:p>
            <w:pPr>
              <w:spacing w:after="0"/>
            </w:pPr>
            <w:r>
              <w:rPr>
                <w:sz w:val="16"/>
              </w:rPr>
              <w:t>Exclude CurrentDate from the normative stable_combined_v2 fingerprint. Keep the old combined digest only as a diagnostic; gate on counts, stable properties, and identity/logic/schedule/calendar/resource/stable-combined fingerprints.</w:t>
            </w:r>
          </w:p>
        </w:tc>
        <w:tc>
          <w:tcPr>
            <w:tcW w:type="dxa" w:w="3456"/>
            <w:vAlign w:val="top"/>
          </w:tcPr>
          <w:p>
            <w:pPr>
              <w:spacing w:after="0"/>
            </w:pPr>
            <w:r>
              <w:rPr>
                <w:sz w:val="16"/>
              </w:rPr>
              <w:t>All 48 schedule inputs were reparsed independently. Counts and five component fingerprints matched 48/48; the only original combined difference was CurrentDate. stable_combined_v2 matched 48/48.</w:t>
            </w:r>
          </w:p>
        </w:tc>
      </w:tr>
      <w:tr>
        <w:trPr>
          <w:cantSplit w:val="true"/>
        </w:trPr>
        <w:tc>
          <w:tcPr>
            <w:tcW w:type="dxa" w:w="504"/>
            <w:vAlign w:val="top"/>
          </w:tcPr>
          <w:p>
            <w:pPr>
              <w:spacing w:after="0"/>
            </w:pPr>
            <w:r>
              <w:rPr>
                <w:sz w:val="16"/>
              </w:rPr>
              <w:t>17</w:t>
            </w:r>
          </w:p>
        </w:tc>
        <w:tc>
          <w:tcPr>
            <w:tcW w:type="dxa" w:w="3240"/>
            <w:vAlign w:val="top"/>
          </w:tcPr>
          <w:p>
            <w:pPr>
              <w:spacing w:after="0"/>
            </w:pPr>
            <w:r>
              <w:rPr>
                <w:sz w:val="16"/>
              </w:rPr>
              <w:t>The original formula_count counted only non-empty formula definitions, while shared-formula follower cells contain empty &lt;f/&gt; elements. Two workbooks therefore appeared to have inconsistent formula counts under a raw OOXML recount.</w:t>
            </w:r>
          </w:p>
        </w:tc>
        <w:tc>
          <w:tcPr>
            <w:tcW w:type="dxa" w:w="3672"/>
            <w:vAlign w:val="top"/>
          </w:tcPr>
          <w:p>
            <w:pPr>
              <w:spacing w:after="0"/>
            </w:pPr>
            <w:r>
              <w:rPr>
                <w:sz w:val="16"/>
              </w:rPr>
              <w:t>Track formula_definition_count and formula_cell_count separately. Validate both: definitions preserve unique formula text, while formula-bearing cells measure calculation coverage.</w:t>
            </w:r>
          </w:p>
        </w:tc>
        <w:tc>
          <w:tcPr>
            <w:tcW w:type="dxa" w:w="3456"/>
            <w:vAlign w:val="top"/>
          </w:tcPr>
          <w:p>
            <w:pPr>
              <w:spacing w:after="0"/>
            </w:pPr>
            <w:r>
              <w:rPr>
                <w:sz w:val="16"/>
              </w:rPr>
              <w:t>All 83 XLSX files independently reproduce cell count, sheet count, formula definition count, and formula-bearing cell count. Margin template has 202 definitions/350 formula cells; PerformanceAnalysisSummary has 214 definitions/7,244 formula cells.</w:t>
            </w:r>
          </w:p>
        </w:tc>
      </w:tr>
      <w:tr>
        <w:trPr>
          <w:cantSplit w:val="true"/>
        </w:trPr>
        <w:tc>
          <w:tcPr>
            <w:tcW w:type="dxa" w:w="504"/>
            <w:vAlign w:val="top"/>
          </w:tcPr>
          <w:p>
            <w:pPr>
              <w:spacing w:after="0"/>
            </w:pPr>
            <w:r>
              <w:rPr>
                <w:sz w:val="16"/>
              </w:rPr>
              <w:t>18</w:t>
            </w:r>
          </w:p>
        </w:tc>
        <w:tc>
          <w:tcPr>
            <w:tcW w:type="dxa" w:w="3240"/>
            <w:vAlign w:val="top"/>
          </w:tcPr>
          <w:p>
            <w:pPr>
              <w:spacing w:after="0"/>
            </w:pPr>
            <w:r>
              <w:rPr>
                <w:sz w:val="16"/>
              </w:rPr>
              <w:t>File-level vendor classification and refined workbook-level classification diverged for PerformanceAnalysisSummary_Sample Metrics_2026APR.xlsx.</w:t>
            </w:r>
          </w:p>
        </w:tc>
        <w:tc>
          <w:tcPr>
            <w:tcW w:type="dxa" w:w="3672"/>
            <w:vAlign w:val="top"/>
          </w:tcPr>
          <w:p>
            <w:pPr>
              <w:spacing w:after="0"/>
            </w:pPr>
            <w:r>
              <w:rPr>
                <w:sz w:val="16"/>
              </w:rPr>
              <w:t>Use one authoritative classification table and propagate it to file, workbook, test-case, and association layers; direct vendor oracles are separated from templates/reference workbooks.</w:t>
            </w:r>
          </w:p>
        </w:tc>
        <w:tc>
          <w:tcPr>
            <w:tcW w:type="dxa" w:w="3456"/>
            <w:vAlign w:val="top"/>
          </w:tcPr>
          <w:p>
            <w:pPr>
              <w:spacing w:after="0"/>
            </w:pPr>
            <w:r>
              <w:rPr>
                <w:sz w:val="16"/>
              </w:rPr>
              <w:t>PerformanceAnalysisSummary is now Reference/Methodology / Performance Analysis Template and is excluded from the Acumen-oracle readiness denominator.</w:t>
            </w:r>
          </w:p>
        </w:tc>
      </w:tr>
      <w:tr>
        <w:trPr>
          <w:cantSplit w:val="true"/>
        </w:trPr>
        <w:tc>
          <w:tcPr>
            <w:tcW w:type="dxa" w:w="504"/>
            <w:vAlign w:val="top"/>
          </w:tcPr>
          <w:p>
            <w:pPr>
              <w:spacing w:after="0"/>
            </w:pPr>
            <w:r>
              <w:rPr>
                <w:sz w:val="16"/>
              </w:rPr>
              <w:t>19</w:t>
            </w:r>
          </w:p>
        </w:tc>
        <w:tc>
          <w:tcPr>
            <w:tcW w:type="dxa" w:w="3240"/>
            <w:vAlign w:val="top"/>
          </w:tcPr>
          <w:p>
            <w:pPr>
              <w:spacing w:after="0"/>
            </w:pPr>
            <w:r>
              <w:rPr>
                <w:sz w:val="16"/>
              </w:rPr>
              <w:t>The first repo-local audit script did not exactly reproduce the complete documented CI gate and did not distinguish tracked, untracked, dirty, or missing worktree files.</w:t>
            </w:r>
          </w:p>
        </w:tc>
        <w:tc>
          <w:tcPr>
            <w:tcW w:type="dxa" w:w="3672"/>
            <w:vAlign w:val="top"/>
          </w:tcPr>
          <w:p>
            <w:pPr>
              <w:spacing w:after="0"/>
            </w:pPr>
            <w:r>
              <w:rPr>
                <w:sz w:val="16"/>
              </w:rPr>
              <w:t>Record Git head/branch/status/tracked files, fail dirty or incomplete worktrees, structurally parse all files, and run the documented coverage, parity, security, dependency-audit, JavaScript syntax, and native-MPP test commands.</w:t>
            </w:r>
          </w:p>
        </w:tc>
        <w:tc>
          <w:tcPr>
            <w:tcW w:type="dxa" w:w="3456"/>
            <w:vAlign w:val="top"/>
          </w:tcPr>
          <w:p>
            <w:pPr>
              <w:spacing w:after="0"/>
            </w:pPr>
            <w:r>
              <w:rPr>
                <w:sz w:val="16"/>
              </w:rPr>
              <w:t>verify_hardened_v9.py statically confirms the full gate and Git-state controls are present in repo_hardened_audit.py; execution remains a readiness blocker until run in a current checkout.</w:t>
            </w:r>
          </w:p>
        </w:tc>
      </w:tr>
      <w:tr>
        <w:trPr>
          <w:cantSplit w:val="true"/>
        </w:trPr>
        <w:tc>
          <w:tcPr>
            <w:tcW w:type="dxa" w:w="504"/>
            <w:vAlign w:val="top"/>
          </w:tcPr>
          <w:p>
            <w:pPr>
              <w:spacing w:after="0"/>
            </w:pPr>
            <w:r>
              <w:rPr>
                <w:sz w:val="16"/>
              </w:rPr>
              <w:t>20</w:t>
            </w:r>
          </w:p>
        </w:tc>
        <w:tc>
          <w:tcPr>
            <w:tcW w:type="dxa" w:w="3240"/>
            <w:vAlign w:val="top"/>
          </w:tcPr>
          <w:p>
            <w:pPr>
              <w:spacing w:after="0"/>
            </w:pPr>
            <w:r>
              <w:rPr>
                <w:sz w:val="16"/>
              </w:rPr>
              <w:t>The first oracle runner could compare headline JSON without source-hash provenance and compared SSI dates only as raw strings, allowing the wrong source snapshot or equivalent date encoding to pass incorrectly.</w:t>
            </w:r>
          </w:p>
        </w:tc>
        <w:tc>
          <w:tcPr>
            <w:tcW w:type="dxa" w:w="3672"/>
            <w:vAlign w:val="top"/>
          </w:tcPr>
          <w:p>
            <w:pPr>
              <w:spacing w:after="0"/>
            </w:pPr>
            <w:r>
              <w:rPr>
                <w:sz w:val="16"/>
              </w:rPr>
              <w:t>Require an allowed source SHA-256 for exact SSI cases, normalize Excel serial and ISO datetimes to one numeric axis, normalize day quantities, detect duplicate UIDs, optionally enforce row order/Drag, and support strict metric provenance.</w:t>
            </w:r>
          </w:p>
        </w:tc>
        <w:tc>
          <w:tcPr>
            <w:tcW w:type="dxa" w:w="3456"/>
            <w:vAlign w:val="top"/>
          </w:tcPr>
          <w:p>
            <w:pPr>
              <w:spacing w:after="0"/>
            </w:pPr>
            <w:r>
              <w:rPr>
                <w:sz w:val="16"/>
              </w:rPr>
              <w:t>verify_hardened_v9.py executes exact metric and SSI self-tests through oracle_matrix_runner.py and requires zero differences.</w:t>
            </w:r>
          </w:p>
        </w:tc>
      </w:tr>
      <w:tr>
        <w:trPr>
          <w:cantSplit w:val="true"/>
        </w:trPr>
        <w:tc>
          <w:tcPr>
            <w:tcW w:type="dxa" w:w="504"/>
            <w:vAlign w:val="top"/>
          </w:tcPr>
          <w:p>
            <w:pPr>
              <w:spacing w:after="0"/>
            </w:pPr>
            <w:r>
              <w:rPr>
                <w:sz w:val="16"/>
              </w:rPr>
              <w:t>21</w:t>
            </w:r>
          </w:p>
        </w:tc>
        <w:tc>
          <w:tcPr>
            <w:tcW w:type="dxa" w:w="3240"/>
            <w:vAlign w:val="top"/>
          </w:tcPr>
          <w:p>
            <w:pPr>
              <w:spacing w:after="0"/>
            </w:pPr>
            <w:r>
              <w:rPr>
                <w:sz w:val="16"/>
              </w:rPr>
              <w:t>Versioned control text could remain stale after a later hardening pass, as shown by V6 artifact names inside the V8 process-control table.</w:t>
            </w:r>
          </w:p>
        </w:tc>
        <w:tc>
          <w:tcPr>
            <w:tcW w:type="dxa" w:w="3672"/>
            <w:vAlign w:val="top"/>
          </w:tcPr>
          <w:p>
            <w:pPr>
              <w:spacing w:after="0"/>
            </w:pPr>
            <w:r>
              <w:rPr>
                <w:sz w:val="16"/>
              </w:rPr>
              <w:t>Treat process-control artifact references as versioned data and fail verification when obsolete V6/V7/V8 process-artifact names remain in the V9 control set.</w:t>
            </w:r>
          </w:p>
        </w:tc>
        <w:tc>
          <w:tcPr>
            <w:tcW w:type="dxa" w:w="3456"/>
            <w:vAlign w:val="top"/>
          </w:tcPr>
          <w:p>
            <w:pPr>
              <w:spacing w:after="0"/>
            </w:pPr>
            <w:r>
              <w:rPr>
                <w:sz w:val="16"/>
              </w:rPr>
              <w:t>The V9 verifier scans process_weaknesses_and_controls for obsolete versioned verifier/result references.</w:t>
            </w:r>
          </w:p>
        </w:tc>
      </w:tr>
    </w:tbl>
    <w:p/>
    <w:p>
      <w:pPr>
        <w:pStyle w:val="Heading1"/>
      </w:pPr>
      <w:r>
        <w:t>Independent verification results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val="true"/>
        </w:trPr>
        <w:tc>
          <w:tcPr>
            <w:tcW w:type="dxa" w:w="6912"/>
            <w:shd w:fill="44546A"/>
          </w:tcPr>
          <w:p>
            <w:r>
              <w:rPr>
                <w:b/>
                <w:color w:val="FFFFFF"/>
                <w:sz w:val="16"/>
              </w:rPr>
              <w:t>Check</w:t>
            </w:r>
          </w:p>
        </w:tc>
        <w:tc>
          <w:tcPr>
            <w:tcW w:type="dxa" w:w="1152"/>
            <w:shd w:fill="44546A"/>
          </w:tcPr>
          <w:p>
            <w:r>
              <w:rPr>
                <w:b/>
                <w:color w:val="FFFFFF"/>
                <w:sz w:val="16"/>
              </w:rPr>
              <w:t>Expected</w:t>
            </w:r>
          </w:p>
        </w:tc>
        <w:tc>
          <w:tcPr>
            <w:tcW w:type="dxa" w:w="1152"/>
            <w:shd w:fill="44546A"/>
          </w:tcPr>
          <w:p>
            <w:r>
              <w:rPr>
                <w:b/>
                <w:color w:val="FFFFFF"/>
                <w:sz w:val="16"/>
              </w:rPr>
              <w:t>Actual</w:t>
            </w:r>
          </w:p>
        </w:tc>
        <w:tc>
          <w:tcPr>
            <w:tcW w:type="dxa" w:w="1152"/>
            <w:shd w:fill="44546A"/>
          </w:tcPr>
          <w:p>
            <w:r>
              <w:rPr>
                <w:b/>
                <w:color w:val="FFFFFF"/>
                <w:sz w:val="16"/>
              </w:rPr>
              <w:t>Result</w:t>
            </w:r>
          </w:p>
        </w:tc>
      </w:tr>
      <w:tr>
        <w:trPr>
          <w:cantSplit w:val="true"/>
        </w:trPr>
        <w:tc>
          <w:tcPr>
            <w:tcW w:type="dxa" w:w="6912"/>
            <w:vAlign w:val="top"/>
          </w:tcPr>
          <w:p>
            <w:pPr>
              <w:spacing w:after="0"/>
            </w:pPr>
            <w:r>
              <w:rPr>
                <w:sz w:val="16"/>
              </w:rPr>
              <w:t>Canonical files exist</w:t>
            </w:r>
          </w:p>
        </w:tc>
        <w:tc>
          <w:tcPr>
            <w:tcW w:type="dxa" w:w="1152"/>
            <w:vAlign w:val="top"/>
          </w:tcPr>
          <w:p>
            <w:pPr>
              <w:spacing w:after="0"/>
            </w:pPr>
            <w:r>
              <w:rPr>
                <w:sz w:val="16"/>
              </w:rPr>
              <w:t>175</w:t>
            </w:r>
          </w:p>
        </w:tc>
        <w:tc>
          <w:tcPr>
            <w:tcW w:type="dxa" w:w="1152"/>
            <w:vAlign w:val="top"/>
          </w:tcPr>
          <w:p>
            <w:pPr>
              <w:spacing w:after="0"/>
            </w:pPr>
            <w:r>
              <w:rPr>
                <w:sz w:val="16"/>
              </w:rPr>
              <w:t>175</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Canonical SHA-256 reproducible</w:t>
            </w:r>
          </w:p>
        </w:tc>
        <w:tc>
          <w:tcPr>
            <w:tcW w:type="dxa" w:w="1152"/>
            <w:vAlign w:val="top"/>
          </w:tcPr>
          <w:p>
            <w:pPr>
              <w:spacing w:after="0"/>
            </w:pPr>
            <w:r>
              <w:rPr>
                <w:sz w:val="16"/>
              </w:rPr>
              <w:t>175</w:t>
            </w:r>
          </w:p>
        </w:tc>
        <w:tc>
          <w:tcPr>
            <w:tcW w:type="dxa" w:w="1152"/>
            <w:vAlign w:val="top"/>
          </w:tcPr>
          <w:p>
            <w:pPr>
              <w:spacing w:after="0"/>
            </w:pPr>
            <w:r>
              <w:rPr>
                <w:sz w:val="16"/>
              </w:rPr>
              <w:t>175</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Canonical byte sizes reproducible</w:t>
            </w:r>
          </w:p>
        </w:tc>
        <w:tc>
          <w:tcPr>
            <w:tcW w:type="dxa" w:w="1152"/>
            <w:vAlign w:val="top"/>
          </w:tcPr>
          <w:p>
            <w:pPr>
              <w:spacing w:after="0"/>
            </w:pPr>
            <w:r>
              <w:rPr>
                <w:sz w:val="16"/>
              </w:rPr>
              <w:t>175</w:t>
            </w:r>
          </w:p>
        </w:tc>
        <w:tc>
          <w:tcPr>
            <w:tcW w:type="dxa" w:w="1152"/>
            <w:vAlign w:val="top"/>
          </w:tcPr>
          <w:p>
            <w:pPr>
              <w:spacing w:after="0"/>
            </w:pPr>
            <w:r>
              <w:rPr>
                <w:sz w:val="16"/>
              </w:rPr>
              <w:t>175</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Alias paths reproduce canonical SHA-256</w:t>
            </w:r>
          </w:p>
        </w:tc>
        <w:tc>
          <w:tcPr>
            <w:tcW w:type="dxa" w:w="1152"/>
            <w:vAlign w:val="top"/>
          </w:tcPr>
          <w:p>
            <w:pPr>
              <w:spacing w:after="0"/>
            </w:pPr>
            <w:r>
              <w:rPr>
                <w:sz w:val="16"/>
              </w:rPr>
              <w:t>436</w:t>
            </w:r>
          </w:p>
        </w:tc>
        <w:tc>
          <w:tcPr>
            <w:tcW w:type="dxa" w:w="1152"/>
            <w:vAlign w:val="top"/>
          </w:tcPr>
          <w:p>
            <w:pPr>
              <w:spacing w:after="0"/>
            </w:pPr>
            <w:r>
              <w:rPr>
                <w:sz w:val="16"/>
              </w:rPr>
              <w:t>436</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Source ZIP CRC/traversal clean</w:t>
            </w:r>
          </w:p>
        </w:tc>
        <w:tc>
          <w:tcPr>
            <w:tcW w:type="dxa" w:w="1152"/>
            <w:vAlign w:val="top"/>
          </w:tcPr>
          <w:p>
            <w:pPr>
              <w:spacing w:after="0"/>
            </w:pPr>
            <w:r>
              <w:rPr>
                <w:sz w:val="16"/>
              </w:rPr>
              <w:t>0</w:t>
            </w:r>
          </w:p>
        </w:tc>
        <w:tc>
          <w:tcPr>
            <w:tcW w:type="dxa" w:w="1152"/>
            <w:vAlign w:val="top"/>
          </w:tcPr>
          <w:p>
            <w:pPr>
              <w:spacing w:after="0"/>
            </w:pPr>
            <w:r>
              <w:rPr>
                <w:sz w:val="16"/>
              </w:rPr>
              <w:t>0</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XLSX raw cell/formula/sheet counts independently reproduce</w:t>
            </w:r>
          </w:p>
        </w:tc>
        <w:tc>
          <w:tcPr>
            <w:tcW w:type="dxa" w:w="1152"/>
            <w:vAlign w:val="top"/>
          </w:tcPr>
          <w:p>
            <w:pPr>
              <w:spacing w:after="0"/>
            </w:pPr>
            <w:r>
              <w:rPr>
                <w:sz w:val="16"/>
              </w:rPr>
              <w:t>83</w:t>
            </w:r>
          </w:p>
        </w:tc>
        <w:tc>
          <w:tcPr>
            <w:tcW w:type="dxa" w:w="1152"/>
            <w:vAlign w:val="top"/>
          </w:tcPr>
          <w:p>
            <w:pPr>
              <w:spacing w:after="0"/>
            </w:pPr>
            <w:r>
              <w:rPr>
                <w:sz w:val="16"/>
              </w:rPr>
              <w:t>83</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All 48 schedule stable semantic fingerprints independently reproduce</w:t>
            </w:r>
          </w:p>
        </w:tc>
        <w:tc>
          <w:tcPr>
            <w:tcW w:type="dxa" w:w="1152"/>
            <w:vAlign w:val="top"/>
          </w:tcPr>
          <w:p>
            <w:pPr>
              <w:spacing w:after="0"/>
            </w:pPr>
            <w:r>
              <w:rPr>
                <w:sz w:val="16"/>
              </w:rPr>
              <w:t>48</w:t>
            </w:r>
          </w:p>
        </w:tc>
        <w:tc>
          <w:tcPr>
            <w:tcW w:type="dxa" w:w="1152"/>
            <w:vAlign w:val="top"/>
          </w:tcPr>
          <w:p>
            <w:pPr>
              <w:spacing w:after="0"/>
            </w:pPr>
            <w:r>
              <w:rPr>
                <w:sz w:val="16"/>
              </w:rPr>
              <w:t>48</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Volatile CurrentDate difference identified and excluded from normative gate</w:t>
            </w:r>
          </w:p>
        </w:tc>
        <w:tc>
          <w:tcPr>
            <w:tcW w:type="dxa" w:w="1152"/>
            <w:vAlign w:val="top"/>
          </w:tcPr>
          <w:p>
            <w:pPr>
              <w:spacing w:after="0"/>
            </w:pPr>
            <w:r>
              <w:rPr>
                <w:sz w:val="16"/>
              </w:rPr>
              <w:t>48</w:t>
            </w:r>
          </w:p>
        </w:tc>
        <w:tc>
          <w:tcPr>
            <w:tcW w:type="dxa" w:w="1152"/>
            <w:vAlign w:val="top"/>
          </w:tcPr>
          <w:p>
            <w:pPr>
              <w:spacing w:after="0"/>
            </w:pPr>
            <w:r>
              <w:rPr>
                <w:sz w:val="16"/>
              </w:rPr>
              <w:t>48</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Non-schedule XML configurations well-formed</w:t>
            </w:r>
          </w:p>
        </w:tc>
        <w:tc>
          <w:tcPr>
            <w:tcW w:type="dxa" w:w="1152"/>
            <w:vAlign w:val="top"/>
          </w:tcPr>
          <w:p>
            <w:pPr>
              <w:spacing w:after="0"/>
            </w:pPr>
            <w:r>
              <w:rPr>
                <w:sz w:val="16"/>
              </w:rPr>
              <w:t>2</w:t>
            </w:r>
          </w:p>
        </w:tc>
        <w:tc>
          <w:tcPr>
            <w:tcW w:type="dxa" w:w="1152"/>
            <w:vAlign w:val="top"/>
          </w:tcPr>
          <w:p>
            <w:pPr>
              <w:spacing w:after="0"/>
            </w:pPr>
            <w:r>
              <w:rPr>
                <w:sz w:val="16"/>
              </w:rPr>
              <w:t>2</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AFW explicit references independently reproduce</w:t>
            </w:r>
          </w:p>
        </w:tc>
        <w:tc>
          <w:tcPr>
            <w:tcW w:type="dxa" w:w="1152"/>
            <w:vAlign w:val="top"/>
          </w:tcPr>
          <w:p>
            <w:pPr>
              <w:spacing w:after="0"/>
            </w:pPr>
            <w:r>
              <w:rPr>
                <w:sz w:val="16"/>
              </w:rPr>
              <w:t>6</w:t>
            </w:r>
          </w:p>
        </w:tc>
        <w:tc>
          <w:tcPr>
            <w:tcW w:type="dxa" w:w="1152"/>
            <w:vAlign w:val="top"/>
          </w:tcPr>
          <w:p>
            <w:pPr>
              <w:spacing w:after="0"/>
            </w:pPr>
            <w:r>
              <w:rPr>
                <w:sz w:val="16"/>
              </w:rPr>
              <w:t>6</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Association IDs valid</w:t>
            </w:r>
          </w:p>
        </w:tc>
        <w:tc>
          <w:tcPr>
            <w:tcW w:type="dxa" w:w="1152"/>
            <w:vAlign w:val="top"/>
          </w:tcPr>
          <w:p>
            <w:pPr>
              <w:spacing w:after="0"/>
            </w:pPr>
            <w:r>
              <w:rPr>
                <w:sz w:val="16"/>
              </w:rPr>
              <w:t>169</w:t>
            </w:r>
          </w:p>
        </w:tc>
        <w:tc>
          <w:tcPr>
            <w:tcW w:type="dxa" w:w="1152"/>
            <w:vAlign w:val="top"/>
          </w:tcPr>
          <w:p>
            <w:pPr>
              <w:spacing w:after="0"/>
            </w:pPr>
            <w:r>
              <w:rPr>
                <w:sz w:val="16"/>
              </w:rPr>
              <w:t>169</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All vendor oracle containers associated</w:t>
            </w:r>
          </w:p>
        </w:tc>
        <w:tc>
          <w:tcPr>
            <w:tcW w:type="dxa" w:w="1152"/>
            <w:vAlign w:val="top"/>
          </w:tcPr>
          <w:p>
            <w:pPr>
              <w:spacing w:after="0"/>
            </w:pPr>
            <w:r>
              <w:rPr>
                <w:sz w:val="16"/>
              </w:rPr>
              <w:t>81</w:t>
            </w:r>
          </w:p>
        </w:tc>
        <w:tc>
          <w:tcPr>
            <w:tcW w:type="dxa" w:w="1152"/>
            <w:vAlign w:val="top"/>
          </w:tcPr>
          <w:p>
            <w:pPr>
              <w:spacing w:after="0"/>
            </w:pPr>
            <w:r>
              <w:rPr>
                <w:sz w:val="16"/>
              </w:rPr>
              <w:t>81</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No heuristic-only associations</w:t>
            </w:r>
          </w:p>
        </w:tc>
        <w:tc>
          <w:tcPr>
            <w:tcW w:type="dxa" w:w="1152"/>
            <w:vAlign w:val="top"/>
          </w:tcPr>
          <w:p>
            <w:pPr>
              <w:spacing w:after="0"/>
            </w:pPr>
            <w:r>
              <w:rPr>
                <w:sz w:val="16"/>
              </w:rPr>
              <w:t>0</w:t>
            </w:r>
          </w:p>
        </w:tc>
        <w:tc>
          <w:tcPr>
            <w:tcW w:type="dxa" w:w="1152"/>
            <w:vAlign w:val="top"/>
          </w:tcPr>
          <w:p>
            <w:pPr>
              <w:spacing w:after="0"/>
            </w:pPr>
            <w:r>
              <w:rPr>
                <w:sz w:val="16"/>
              </w:rPr>
              <w:t>0</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Exactly one test contract per vendor oracle</w:t>
            </w:r>
          </w:p>
        </w:tc>
        <w:tc>
          <w:tcPr>
            <w:tcW w:type="dxa" w:w="1152"/>
            <w:vAlign w:val="top"/>
          </w:tcPr>
          <w:p>
            <w:pPr>
              <w:spacing w:after="0"/>
            </w:pPr>
            <w:r>
              <w:rPr>
                <w:sz w:val="16"/>
              </w:rPr>
              <w:t>81</w:t>
            </w:r>
          </w:p>
        </w:tc>
        <w:tc>
          <w:tcPr>
            <w:tcW w:type="dxa" w:w="1152"/>
            <w:vAlign w:val="top"/>
          </w:tcPr>
          <w:p>
            <w:pPr>
              <w:spacing w:after="0"/>
            </w:pPr>
            <w:r>
              <w:rPr>
                <w:sz w:val="16"/>
              </w:rPr>
              <w:t>81</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Test contracts pin oracle SHA-256</w:t>
            </w:r>
          </w:p>
        </w:tc>
        <w:tc>
          <w:tcPr>
            <w:tcW w:type="dxa" w:w="1152"/>
            <w:vAlign w:val="top"/>
          </w:tcPr>
          <w:p>
            <w:pPr>
              <w:spacing w:after="0"/>
            </w:pPr>
            <w:r>
              <w:rPr>
                <w:sz w:val="16"/>
              </w:rPr>
              <w:t>89</w:t>
            </w:r>
          </w:p>
        </w:tc>
        <w:tc>
          <w:tcPr>
            <w:tcW w:type="dxa" w:w="1152"/>
            <w:vAlign w:val="top"/>
          </w:tcPr>
          <w:p>
            <w:pPr>
              <w:spacing w:after="0"/>
            </w:pPr>
            <w:r>
              <w:rPr>
                <w:sz w:val="16"/>
              </w:rPr>
              <w:t>89</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MPP/XML pairs retain exact logic fingerprints</w:t>
            </w:r>
          </w:p>
        </w:tc>
        <w:tc>
          <w:tcPr>
            <w:tcW w:type="dxa" w:w="1152"/>
            <w:vAlign w:val="top"/>
          </w:tcPr>
          <w:p>
            <w:pPr>
              <w:spacing w:after="0"/>
            </w:pPr>
            <w:r>
              <w:rPr>
                <w:sz w:val="16"/>
              </w:rPr>
              <w:t>13</w:t>
            </w:r>
          </w:p>
        </w:tc>
        <w:tc>
          <w:tcPr>
            <w:tcW w:type="dxa" w:w="1152"/>
            <w:vAlign w:val="top"/>
          </w:tcPr>
          <w:p>
            <w:pPr>
              <w:spacing w:after="0"/>
            </w:pPr>
            <w:r>
              <w:rPr>
                <w:sz w:val="16"/>
              </w:rPr>
              <w:t>13</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SSI exact-source readiness independently equals 15/19</w:t>
            </w:r>
          </w:p>
        </w:tc>
        <w:tc>
          <w:tcPr>
            <w:tcW w:type="dxa" w:w="1152"/>
            <w:vAlign w:val="top"/>
          </w:tcPr>
          <w:p>
            <w:pPr>
              <w:spacing w:after="0"/>
            </w:pPr>
            <w:r>
              <w:rPr>
                <w:sz w:val="16"/>
              </w:rPr>
              <w:t>15</w:t>
            </w:r>
          </w:p>
        </w:tc>
        <w:tc>
          <w:tcPr>
            <w:tcW w:type="dxa" w:w="1152"/>
            <w:vAlign w:val="top"/>
          </w:tcPr>
          <w:p>
            <w:pPr>
              <w:spacing w:after="0"/>
            </w:pPr>
            <w:r>
              <w:rPr>
                <w:sz w:val="16"/>
              </w:rPr>
              <w:t>15</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AFW exact-binary readiness independently equals 5/6</w:t>
            </w:r>
          </w:p>
        </w:tc>
        <w:tc>
          <w:tcPr>
            <w:tcW w:type="dxa" w:w="1152"/>
            <w:vAlign w:val="top"/>
          </w:tcPr>
          <w:p>
            <w:pPr>
              <w:spacing w:after="0"/>
            </w:pPr>
            <w:r>
              <w:rPr>
                <w:sz w:val="16"/>
              </w:rPr>
              <w:t>5</w:t>
            </w:r>
          </w:p>
        </w:tc>
        <w:tc>
          <w:tcPr>
            <w:tcW w:type="dxa" w:w="1152"/>
            <w:vAlign w:val="top"/>
          </w:tcPr>
          <w:p>
            <w:pPr>
              <w:spacing w:after="0"/>
            </w:pPr>
            <w:r>
              <w:rPr>
                <w:sz w:val="16"/>
              </w:rPr>
              <w:t>5</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Readiness gate arithmetic coherent</w:t>
            </w:r>
          </w:p>
        </w:tc>
        <w:tc>
          <w:tcPr>
            <w:tcW w:type="dxa" w:w="1152"/>
            <w:vAlign w:val="top"/>
          </w:tcPr>
          <w:p>
            <w:pPr>
              <w:spacing w:after="0"/>
            </w:pPr>
            <w:r>
              <w:rPr>
                <w:sz w:val="16"/>
              </w:rPr>
              <w:t>6</w:t>
            </w:r>
          </w:p>
        </w:tc>
        <w:tc>
          <w:tcPr>
            <w:tcW w:type="dxa" w:w="1152"/>
            <w:vAlign w:val="top"/>
          </w:tcPr>
          <w:p>
            <w:pPr>
              <w:spacing w:after="0"/>
            </w:pPr>
            <w:r>
              <w:rPr>
                <w:sz w:val="16"/>
              </w:rPr>
              <w:t>6</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Process-control artifact references are current V9</w:t>
            </w:r>
          </w:p>
        </w:tc>
        <w:tc>
          <w:tcPr>
            <w:tcW w:type="dxa" w:w="1152"/>
            <w:vAlign w:val="top"/>
          </w:tcPr>
          <w:p>
            <w:pPr>
              <w:spacing w:after="0"/>
            </w:pPr>
            <w:r>
              <w:rPr>
                <w:sz w:val="16"/>
              </w:rPr>
              <w:t>0</w:t>
            </w:r>
          </w:p>
        </w:tc>
        <w:tc>
          <w:tcPr>
            <w:tcW w:type="dxa" w:w="1152"/>
            <w:vAlign w:val="top"/>
          </w:tcPr>
          <w:p>
            <w:pPr>
              <w:spacing w:after="0"/>
            </w:pPr>
            <w:r>
              <w:rPr>
                <w:sz w:val="16"/>
              </w:rPr>
              <w:t>0</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Repo-local audit script contains full Git/coverage/parity/security/JS/MPP controls</w:t>
            </w:r>
          </w:p>
        </w:tc>
        <w:tc>
          <w:tcPr>
            <w:tcW w:type="dxa" w:w="1152"/>
            <w:vAlign w:val="top"/>
          </w:tcPr>
          <w:p>
            <w:pPr>
              <w:spacing w:after="0"/>
            </w:pPr>
            <w:r>
              <w:rPr>
                <w:sz w:val="16"/>
              </w:rPr>
              <w:t>9</w:t>
            </w:r>
          </w:p>
        </w:tc>
        <w:tc>
          <w:tcPr>
            <w:tcW w:type="dxa" w:w="1152"/>
            <w:vAlign w:val="top"/>
          </w:tcPr>
          <w:p>
            <w:pPr>
              <w:spacing w:after="0"/>
            </w:pPr>
            <w:r>
              <w:rPr>
                <w:sz w:val="16"/>
              </w:rPr>
              <w:t>9</w:t>
            </w:r>
          </w:p>
        </w:tc>
        <w:tc>
          <w:tcPr>
            <w:tcW w:type="dxa" w:w="1152"/>
            <w:vAlign w:val="top"/>
          </w:tcPr>
          <w:p>
            <w:pPr>
              <w:spacing w:after="0"/>
            </w:pPr>
            <w:r>
              <w:rPr>
                <w:sz w:val="16"/>
              </w:rPr>
              <w:t>PASS</w:t>
            </w:r>
          </w:p>
        </w:tc>
      </w:tr>
      <w:tr>
        <w:trPr>
          <w:cantSplit w:val="true"/>
        </w:trPr>
        <w:tc>
          <w:tcPr>
            <w:tcW w:type="dxa" w:w="6912"/>
            <w:vAlign w:val="top"/>
          </w:tcPr>
          <w:p>
            <w:pPr>
              <w:spacing w:after="0"/>
            </w:pPr>
            <w:r>
              <w:rPr>
                <w:sz w:val="16"/>
              </w:rPr>
              <w:t>Oracle runner validates schema and passes exact metric/SSI self-tests</w:t>
            </w:r>
          </w:p>
        </w:tc>
        <w:tc>
          <w:tcPr>
            <w:tcW w:type="dxa" w:w="1152"/>
            <w:vAlign w:val="top"/>
          </w:tcPr>
          <w:p>
            <w:pPr>
              <w:spacing w:after="0"/>
            </w:pPr>
            <w:r>
              <w:rPr>
                <w:sz w:val="16"/>
              </w:rPr>
              <w:t>3</w:t>
            </w:r>
          </w:p>
        </w:tc>
        <w:tc>
          <w:tcPr>
            <w:tcW w:type="dxa" w:w="1152"/>
            <w:vAlign w:val="top"/>
          </w:tcPr>
          <w:p>
            <w:pPr>
              <w:spacing w:after="0"/>
            </w:pPr>
            <w:r>
              <w:rPr>
                <w:sz w:val="16"/>
              </w:rPr>
              <w:t>3</w:t>
            </w:r>
          </w:p>
        </w:tc>
        <w:tc>
          <w:tcPr>
            <w:tcW w:type="dxa" w:w="1152"/>
            <w:vAlign w:val="top"/>
          </w:tcPr>
          <w:p>
            <w:pPr>
              <w:spacing w:after="0"/>
            </w:pPr>
            <w:r>
              <w:rPr>
                <w:sz w:val="16"/>
              </w:rPr>
              <w:t>PASS</w:t>
            </w:r>
          </w:p>
        </w:tc>
      </w:tr>
    </w:tbl>
    <w:p/>
    <w:p>
      <w:pPr>
        <w:pStyle w:val="Heading1"/>
      </w:pPr>
      <w:r>
        <w:t>Readiness gates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val="true"/>
        </w:trPr>
        <w:tc>
          <w:tcPr>
            <w:tcW w:type="dxa" w:w="3888"/>
            <w:shd w:fill="44546A"/>
          </w:tcPr>
          <w:p>
            <w:r>
              <w:rPr>
                <w:b/>
                <w:color w:val="FFFFFF"/>
                <w:sz w:val="16"/>
              </w:rPr>
              <w:t>Gate</w:t>
            </w:r>
          </w:p>
        </w:tc>
        <w:tc>
          <w:tcPr>
            <w:tcW w:type="dxa" w:w="864"/>
            <w:shd w:fill="44546A"/>
          </w:tcPr>
          <w:p>
            <w:r>
              <w:rPr>
                <w:b/>
                <w:color w:val="FFFFFF"/>
                <w:sz w:val="16"/>
              </w:rPr>
              <w:t>Expected</w:t>
            </w:r>
          </w:p>
        </w:tc>
        <w:tc>
          <w:tcPr>
            <w:tcW w:type="dxa" w:w="864"/>
            <w:shd w:fill="44546A"/>
          </w:tcPr>
          <w:p>
            <w:r>
              <w:rPr>
                <w:b/>
                <w:color w:val="FFFFFF"/>
                <w:sz w:val="16"/>
              </w:rPr>
              <w:t>Actual</w:t>
            </w:r>
          </w:p>
        </w:tc>
        <w:tc>
          <w:tcPr>
            <w:tcW w:type="dxa" w:w="1008"/>
            <w:shd w:fill="44546A"/>
          </w:tcPr>
          <w:p>
            <w:r>
              <w:rPr>
                <w:b/>
                <w:color w:val="FFFFFF"/>
                <w:sz w:val="16"/>
              </w:rPr>
              <w:t>Result</w:t>
            </w:r>
          </w:p>
        </w:tc>
        <w:tc>
          <w:tcPr>
            <w:tcW w:type="dxa" w:w="4176"/>
            <w:shd w:fill="44546A"/>
          </w:tcPr>
          <w:p>
            <w:r>
              <w:rPr>
                <w:b/>
                <w:color w:val="FFFFFF"/>
                <w:sz w:val="16"/>
              </w:rPr>
              <w:t>Reason</w:t>
            </w:r>
          </w:p>
        </w:tc>
      </w:tr>
      <w:tr>
        <w:trPr>
          <w:cantSplit w:val="true"/>
        </w:trPr>
        <w:tc>
          <w:tcPr>
            <w:tcW w:type="dxa" w:w="3888"/>
            <w:vAlign w:val="top"/>
          </w:tcPr>
          <w:p>
            <w:pPr>
              <w:spacing w:after="0"/>
            </w:pPr>
            <w:r>
              <w:rPr>
                <w:sz w:val="16"/>
              </w:rPr>
              <w:t>Every SSI oracle has a &gt;=99.5% exact start/finish source match</w:t>
            </w:r>
          </w:p>
        </w:tc>
        <w:tc>
          <w:tcPr>
            <w:tcW w:type="dxa" w:w="864"/>
            <w:vAlign w:val="top"/>
          </w:tcPr>
          <w:p>
            <w:pPr>
              <w:spacing w:after="0"/>
            </w:pPr>
            <w:r>
              <w:rPr>
                <w:sz w:val="16"/>
              </w:rPr>
              <w:t>19</w:t>
            </w:r>
          </w:p>
        </w:tc>
        <w:tc>
          <w:tcPr>
            <w:tcW w:type="dxa" w:w="864"/>
            <w:vAlign w:val="top"/>
          </w:tcPr>
          <w:p>
            <w:pPr>
              <w:spacing w:after="0"/>
            </w:pPr>
            <w:r>
              <w:rPr>
                <w:sz w:val="16"/>
              </w:rPr>
              <w:t>15</w:t>
            </w:r>
          </w:p>
        </w:tc>
        <w:tc>
          <w:tcPr>
            <w:tcW w:type="dxa" w:w="1008"/>
            <w:vAlign w:val="top"/>
          </w:tcPr>
          <w:p>
            <w:pPr>
              <w:spacing w:after="0"/>
            </w:pPr>
            <w:r>
              <w:rPr>
                <w:sz w:val="16"/>
              </w:rPr>
              <w:t>FAIL</w:t>
            </w:r>
          </w:p>
        </w:tc>
        <w:tc>
          <w:tcPr>
            <w:tcW w:type="dxa" w:w="4176"/>
            <w:vAlign w:val="top"/>
          </w:tcPr>
          <w:p>
            <w:pPr>
              <w:spacing w:after="0"/>
            </w:pPr>
            <w:r>
              <w:rPr>
                <w:sz w:val="16"/>
              </w:rPr>
            </w:r>
          </w:p>
        </w:tc>
      </w:tr>
      <w:tr>
        <w:trPr>
          <w:cantSplit w:val="true"/>
        </w:trPr>
        <w:tc>
          <w:tcPr>
            <w:tcW w:type="dxa" w:w="3888"/>
            <w:vAlign w:val="top"/>
          </w:tcPr>
          <w:p>
            <w:pPr>
              <w:spacing w:after="0"/>
            </w:pPr>
            <w:r>
              <w:rPr>
                <w:sz w:val="16"/>
              </w:rPr>
              <w:t>Every Acumen XLSX has exact embedded project/version labels</w:t>
            </w:r>
          </w:p>
        </w:tc>
        <w:tc>
          <w:tcPr>
            <w:tcW w:type="dxa" w:w="864"/>
            <w:vAlign w:val="top"/>
          </w:tcPr>
          <w:p>
            <w:pPr>
              <w:spacing w:after="0"/>
            </w:pPr>
            <w:r>
              <w:rPr>
                <w:sz w:val="16"/>
              </w:rPr>
              <w:t>56</w:t>
            </w:r>
          </w:p>
        </w:tc>
        <w:tc>
          <w:tcPr>
            <w:tcW w:type="dxa" w:w="864"/>
            <w:vAlign w:val="top"/>
          </w:tcPr>
          <w:p>
            <w:pPr>
              <w:spacing w:after="0"/>
            </w:pPr>
            <w:r>
              <w:rPr>
                <w:sz w:val="16"/>
              </w:rPr>
              <w:t>56</w:t>
            </w:r>
          </w:p>
        </w:tc>
        <w:tc>
          <w:tcPr>
            <w:tcW w:type="dxa" w:w="1008"/>
            <w:vAlign w:val="top"/>
          </w:tcPr>
          <w:p>
            <w:pPr>
              <w:spacing w:after="0"/>
            </w:pPr>
            <w:r>
              <w:rPr>
                <w:sz w:val="16"/>
              </w:rPr>
              <w:t>PASS</w:t>
            </w:r>
          </w:p>
        </w:tc>
        <w:tc>
          <w:tcPr>
            <w:tcW w:type="dxa" w:w="4176"/>
            <w:vAlign w:val="top"/>
          </w:tcPr>
          <w:p>
            <w:pPr>
              <w:spacing w:after="0"/>
            </w:pPr>
            <w:r>
              <w:rPr>
                <w:sz w:val="16"/>
              </w:rPr>
            </w:r>
          </w:p>
        </w:tc>
      </w:tr>
      <w:tr>
        <w:trPr>
          <w:cantSplit w:val="true"/>
        </w:trPr>
        <w:tc>
          <w:tcPr>
            <w:tcW w:type="dxa" w:w="3888"/>
            <w:vAlign w:val="top"/>
          </w:tcPr>
          <w:p>
            <w:pPr>
              <w:spacing w:after="0"/>
            </w:pPr>
            <w:r>
              <w:rPr>
                <w:sz w:val="16"/>
              </w:rPr>
              <w:t>Repository current head locally checked out and full test gate rerun</w:t>
            </w:r>
          </w:p>
        </w:tc>
        <w:tc>
          <w:tcPr>
            <w:tcW w:type="dxa" w:w="864"/>
            <w:vAlign w:val="top"/>
          </w:tcPr>
          <w:p>
            <w:pPr>
              <w:spacing w:after="0"/>
            </w:pPr>
            <w:r>
              <w:rPr>
                <w:sz w:val="16"/>
              </w:rPr>
              <w:t>1</w:t>
            </w:r>
          </w:p>
        </w:tc>
        <w:tc>
          <w:tcPr>
            <w:tcW w:type="dxa" w:w="864"/>
            <w:vAlign w:val="top"/>
          </w:tcPr>
          <w:p>
            <w:pPr>
              <w:spacing w:after="0"/>
            </w:pPr>
            <w:r>
              <w:rPr>
                <w:sz w:val="16"/>
              </w:rPr>
              <w:t>0</w:t>
            </w:r>
          </w:p>
        </w:tc>
        <w:tc>
          <w:tcPr>
            <w:tcW w:type="dxa" w:w="1008"/>
            <w:vAlign w:val="top"/>
          </w:tcPr>
          <w:p>
            <w:pPr>
              <w:spacing w:after="0"/>
            </w:pPr>
            <w:r>
              <w:rPr>
                <w:sz w:val="16"/>
              </w:rPr>
              <w:t>FAIL</w:t>
            </w:r>
          </w:p>
        </w:tc>
        <w:tc>
          <w:tcPr>
            <w:tcW w:type="dxa" w:w="4176"/>
            <w:vAlign w:val="top"/>
          </w:tcPr>
          <w:p>
            <w:pPr>
              <w:spacing w:after="0"/>
            </w:pPr>
            <w:r>
              <w:rPr>
                <w:sz w:val="16"/>
              </w:rPr>
              <w:t>Runtime DNS blocked git clone; GitHub connector evidence reviewed but current reference-upload head was not executed locally.</w:t>
            </w:r>
          </w:p>
        </w:tc>
      </w:tr>
      <w:tr>
        <w:trPr>
          <w:cantSplit w:val="true"/>
        </w:trPr>
        <w:tc>
          <w:tcPr>
            <w:tcW w:type="dxa" w:w="3888"/>
            <w:vAlign w:val="top"/>
          </w:tcPr>
          <w:p>
            <w:pPr>
              <w:spacing w:after="0"/>
            </w:pPr>
            <w:r>
              <w:rPr>
                <w:sz w:val="16"/>
              </w:rPr>
              <w:t>Every AFW explicit source filename resolves to at least one schedule equivalence class</w:t>
            </w:r>
          </w:p>
        </w:tc>
        <w:tc>
          <w:tcPr>
            <w:tcW w:type="dxa" w:w="864"/>
            <w:vAlign w:val="top"/>
          </w:tcPr>
          <w:p>
            <w:pPr>
              <w:spacing w:after="0"/>
            </w:pPr>
            <w:r>
              <w:rPr>
                <w:sz w:val="16"/>
              </w:rPr>
              <w:t>6</w:t>
            </w:r>
          </w:p>
        </w:tc>
        <w:tc>
          <w:tcPr>
            <w:tcW w:type="dxa" w:w="864"/>
            <w:vAlign w:val="top"/>
          </w:tcPr>
          <w:p>
            <w:pPr>
              <w:spacing w:after="0"/>
            </w:pPr>
            <w:r>
              <w:rPr>
                <w:sz w:val="16"/>
              </w:rPr>
              <w:t>6</w:t>
            </w:r>
          </w:p>
        </w:tc>
        <w:tc>
          <w:tcPr>
            <w:tcW w:type="dxa" w:w="1008"/>
            <w:vAlign w:val="top"/>
          </w:tcPr>
          <w:p>
            <w:pPr>
              <w:spacing w:after="0"/>
            </w:pPr>
            <w:r>
              <w:rPr>
                <w:sz w:val="16"/>
              </w:rPr>
              <w:t>PASS</w:t>
            </w:r>
          </w:p>
        </w:tc>
        <w:tc>
          <w:tcPr>
            <w:tcW w:type="dxa" w:w="4176"/>
            <w:vAlign w:val="top"/>
          </w:tcPr>
          <w:p>
            <w:pPr>
              <w:spacing w:after="0"/>
            </w:pPr>
            <w:r>
              <w:rPr>
                <w:sz w:val="16"/>
              </w:rPr>
              <w:t>All six AFW workspaces expose explicit .mpp references that resolve to one or more exact-name candidates.</w:t>
            </w:r>
          </w:p>
        </w:tc>
      </w:tr>
      <w:tr>
        <w:trPr>
          <w:cantSplit w:val="true"/>
        </w:trPr>
        <w:tc>
          <w:tcPr>
            <w:tcW w:type="dxa" w:w="3888"/>
            <w:vAlign w:val="top"/>
          </w:tcPr>
          <w:p>
            <w:pPr>
              <w:spacing w:after="0"/>
            </w:pPr>
            <w:r>
              <w:rPr>
                <w:sz w:val="16"/>
              </w:rPr>
              <w:t>Every AFW explicit source filename resolves to exactly one binary payload</w:t>
            </w:r>
          </w:p>
        </w:tc>
        <w:tc>
          <w:tcPr>
            <w:tcW w:type="dxa" w:w="864"/>
            <w:vAlign w:val="top"/>
          </w:tcPr>
          <w:p>
            <w:pPr>
              <w:spacing w:after="0"/>
            </w:pPr>
            <w:r>
              <w:rPr>
                <w:sz w:val="16"/>
              </w:rPr>
              <w:t>6</w:t>
            </w:r>
          </w:p>
        </w:tc>
        <w:tc>
          <w:tcPr>
            <w:tcW w:type="dxa" w:w="864"/>
            <w:vAlign w:val="top"/>
          </w:tcPr>
          <w:p>
            <w:pPr>
              <w:spacing w:after="0"/>
            </w:pPr>
            <w:r>
              <w:rPr>
                <w:sz w:val="16"/>
              </w:rPr>
              <w:t>5</w:t>
            </w:r>
          </w:p>
        </w:tc>
        <w:tc>
          <w:tcPr>
            <w:tcW w:type="dxa" w:w="1008"/>
            <w:vAlign w:val="top"/>
          </w:tcPr>
          <w:p>
            <w:pPr>
              <w:spacing w:after="0"/>
            </w:pPr>
            <w:r>
              <w:rPr>
                <w:sz w:val="16"/>
              </w:rPr>
              <w:t>FAIL</w:t>
            </w:r>
          </w:p>
        </w:tc>
        <w:tc>
          <w:tcPr>
            <w:tcW w:type="dxa" w:w="4176"/>
            <w:vAlign w:val="top"/>
          </w:tcPr>
          <w:p>
            <w:pPr>
              <w:spacing w:after="0"/>
            </w:pPr>
            <w:r>
              <w:rPr>
                <w:sz w:val="16"/>
              </w:rPr>
              <w:t>ref2/2345.afw references Project5_TAMPERED.mpp, but three distinct archive payloads share that filename and reproduce the same observable schedule rows. The AFW stores no source content hash.</w:t>
            </w:r>
          </w:p>
        </w:tc>
      </w:tr>
      <w:tr>
        <w:trPr>
          <w:cantSplit w:val="true"/>
        </w:trPr>
        <w:tc>
          <w:tcPr>
            <w:tcW w:type="dxa" w:w="3888"/>
            <w:vAlign w:val="top"/>
          </w:tcPr>
          <w:p>
            <w:pPr>
              <w:spacing w:after="0"/>
            </w:pPr>
            <w:r>
              <w:rPr>
                <w:sz w:val="16"/>
              </w:rPr>
              <w:t>Current repository updated4 24-hour file semantically compared to archived updated3 24-hour file</w:t>
            </w:r>
          </w:p>
        </w:tc>
        <w:tc>
          <w:tcPr>
            <w:tcW w:type="dxa" w:w="864"/>
            <w:vAlign w:val="top"/>
          </w:tcPr>
          <w:p>
            <w:pPr>
              <w:spacing w:after="0"/>
            </w:pPr>
            <w:r>
              <w:rPr>
                <w:sz w:val="16"/>
              </w:rPr>
              <w:t>1</w:t>
            </w:r>
          </w:p>
        </w:tc>
        <w:tc>
          <w:tcPr>
            <w:tcW w:type="dxa" w:w="864"/>
            <w:vAlign w:val="top"/>
          </w:tcPr>
          <w:p>
            <w:pPr>
              <w:spacing w:after="0"/>
            </w:pPr>
            <w:r>
              <w:rPr>
                <w:sz w:val="16"/>
              </w:rPr>
              <w:t>0</w:t>
            </w:r>
          </w:p>
        </w:tc>
        <w:tc>
          <w:tcPr>
            <w:tcW w:type="dxa" w:w="1008"/>
            <w:vAlign w:val="top"/>
          </w:tcPr>
          <w:p>
            <w:pPr>
              <w:spacing w:after="0"/>
            </w:pPr>
            <w:r>
              <w:rPr>
                <w:sz w:val="16"/>
              </w:rPr>
              <w:t>FAIL</w:t>
            </w:r>
          </w:p>
        </w:tc>
        <w:tc>
          <w:tcPr>
            <w:tcW w:type="dxa" w:w="4176"/>
            <w:vAlign w:val="top"/>
          </w:tcPr>
          <w:p>
            <w:pPr>
              <w:spacing w:after="0"/>
            </w:pPr>
            <w:r>
              <w:rPr>
                <w:sz w:val="16"/>
              </w:rPr>
              <w:t>Git blobs differ and current repository binary was not downloadable through the available connector.</w:t>
            </w:r>
          </w:p>
        </w:tc>
      </w:tr>
    </w:tbl>
    <w:p/>
    <w:p>
      <w:pPr>
        <w:pStyle w:val="Heading1"/>
      </w:pPr>
      <w:r>
        <w:t>Full project-library corpus</w:t>
      </w:r>
    </w:p>
    <w:p>
      <w:pPr>
        <w:pStyle w:val="ListBullet"/>
      </w:pPr>
      <w:r>
        <w:t>436 paths and 175 unique payloads; all canonical and alias hashes reverified.</w:t>
      </w:r>
    </w:p>
    <w:p>
      <w:pPr>
        <w:pStyle w:val="ListBullet"/>
      </w:pPr>
      <w:r>
        <w:t>40 MPP and 8 schedule XML independently reparsed. Two field-map XML files are valid configuration files.</w:t>
      </w:r>
    </w:p>
    <w:p>
      <w:pPr>
        <w:pStyle w:val="ListBullet"/>
      </w:pPr>
      <w:r>
        <w:t>83 XLSX workbooks and 3,909,788 cells verified, including separate formula-definition and formula-bearing-cell counts.</w:t>
      </w:r>
    </w:p>
    <w:p>
      <w:pPr>
        <w:pStyle w:val="ListBullet"/>
      </w:pPr>
      <w:r>
        <w:t>56 Acumen XLSX, 19 SSI XLSX and 6 AFW workspaces cross-referenced to schedule evidence.</w:t>
      </w:r>
    </w:p>
    <w:p>
      <w:pPr>
        <w:pStyle w:val="ListBullet"/>
      </w:pPr>
      <w:r>
        <w:t>No XER exists in the uploaded project library; production P6 parity remains an evidence gap.</w:t>
      </w:r>
    </w:p>
    <w:p>
      <w:pPr>
        <w:pStyle w:val="Heading2"/>
      </w:pPr>
      <w:r>
        <w:t>Newly corrected audit defects</w:t>
      </w:r>
    </w:p>
    <w:p>
      <w:pPr>
        <w:pStyle w:val="Heading3"/>
      </w:pPr>
      <w:r>
        <w:t>Volatile CurrentDate fingerprint</w:t>
      </w:r>
    </w:p>
    <w:p>
      <w:r>
        <w:t>The original combined schedule fingerprint included MPXJ ProjectProperties.CurrentDate. That field is generated at read time and changed on all 48 independent reparses. The stable component fingerprints were exact. stable_combined_v2 now excludes CurrentDate and matched 48/48.</w:t>
      </w:r>
    </w:p>
    <w:p>
      <w:pPr>
        <w:pStyle w:val="Heading3"/>
      </w:pPr>
      <w:r>
        <w:t>Shared-formula counts</w:t>
      </w:r>
    </w:p>
    <w:p>
      <w:r>
        <w:t>formula_count originally meant non-empty formula definitions, not every formula-bearing cell. Shared-formula follower cells use empty &lt;f/&gt; elements. The hardened inventory stores formula_definition_count and formula_cell_count separately; all 83 workbooks independently match both.</w:t>
      </w:r>
    </w:p>
    <w:p>
      <w:pPr>
        <w:pStyle w:val="Heading3"/>
      </w:pPr>
      <w:r>
        <w:t>Template misclassification</w:t>
      </w:r>
    </w:p>
    <w:p>
      <w:r>
        <w:t>PerformanceAnalysisSummary_Sample Metrics_2026APR.xlsx contained Acumen-derived content but is a reference/template, not an Acumen-generated oracle. File-level and workbook-level classification are now synchronized.</w:t>
      </w:r>
    </w:p>
    <w:p>
      <w:pPr>
        <w:pStyle w:val="Heading1"/>
      </w:pPr>
      <w:r>
        <w:t>Oracle-to-source association model</w:t>
      </w:r>
    </w:p>
    <w:p>
      <w:r>
        <w:t>Allowed evidence: Acumen embedded project/version labels and status dates; SSI UID/name/Start/Finish reproduction; explicit AFW MPP references; and documented semantic-equivalence classes. Filename/folder similarity, project title alone, row number, and task name alone are not sufficient.</w:t>
      </w:r>
    </w:p>
    <w:p>
      <w:pPr>
        <w:pStyle w:val="Heading2"/>
      </w:pPr>
      <w:r>
        <w:t>SSI exactness and gaps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val="true"/>
        </w:trPr>
        <w:tc>
          <w:tcPr>
            <w:tcW w:type="dxa" w:w="2880"/>
            <w:shd w:fill="44546A"/>
          </w:tcPr>
          <w:p>
            <w:r>
              <w:rPr>
                <w:b/>
                <w:color w:val="FFFFFF"/>
                <w:sz w:val="16"/>
              </w:rPr>
              <w:t>SSI workbook</w:t>
            </w:r>
          </w:p>
        </w:tc>
        <w:tc>
          <w:tcPr>
            <w:tcW w:type="dxa" w:w="2880"/>
            <w:shd w:fill="44546A"/>
          </w:tcPr>
          <w:p>
            <w:r>
              <w:rPr>
                <w:b/>
                <w:color w:val="FFFFFF"/>
                <w:sz w:val="16"/>
              </w:rPr>
              <w:t>Best candidate schedule</w:t>
            </w:r>
          </w:p>
        </w:tc>
        <w:tc>
          <w:tcPr>
            <w:tcW w:type="dxa" w:w="648"/>
            <w:shd w:fill="44546A"/>
          </w:tcPr>
          <w:p>
            <w:r>
              <w:rPr>
                <w:b/>
                <w:color w:val="FFFFFF"/>
                <w:sz w:val="16"/>
              </w:rPr>
              <w:t>Rows</w:t>
            </w:r>
          </w:p>
        </w:tc>
        <w:tc>
          <w:tcPr>
            <w:tcW w:type="dxa" w:w="648"/>
            <w:shd w:fill="44546A"/>
          </w:tcPr>
          <w:p>
            <w:r>
              <w:rPr>
                <w:b/>
                <w:color w:val="FFFFFF"/>
                <w:sz w:val="16"/>
              </w:rPr>
              <w:t>UID</w:t>
            </w:r>
          </w:p>
        </w:tc>
        <w:tc>
          <w:tcPr>
            <w:tcW w:type="dxa" w:w="648"/>
            <w:shd w:fill="44546A"/>
          </w:tcPr>
          <w:p>
            <w:r>
              <w:rPr>
                <w:b/>
                <w:color w:val="FFFFFF"/>
                <w:sz w:val="16"/>
              </w:rPr>
              <w:t>Name</w:t>
            </w:r>
          </w:p>
        </w:tc>
        <w:tc>
          <w:tcPr>
            <w:tcW w:type="dxa" w:w="648"/>
            <w:shd w:fill="44546A"/>
          </w:tcPr>
          <w:p>
            <w:r>
              <w:rPr>
                <w:b/>
                <w:color w:val="FFFFFF"/>
                <w:sz w:val="16"/>
              </w:rPr>
              <w:t>Dates</w:t>
            </w:r>
          </w:p>
        </w:tc>
        <w:tc>
          <w:tcPr>
            <w:tcW w:type="dxa" w:w="792"/>
            <w:shd w:fill="44546A"/>
          </w:tcPr>
          <w:p>
            <w:r>
              <w:rPr>
                <w:b/>
                <w:color w:val="FFFFFF"/>
                <w:sz w:val="16"/>
              </w:rPr>
              <w:t>Ratio</w:t>
            </w:r>
          </w:p>
        </w:tc>
        <w:tc>
          <w:tcPr>
            <w:tcW w:type="dxa" w:w="1008"/>
            <w:shd w:fill="44546A"/>
          </w:tcPr>
          <w:p>
            <w:r>
              <w:rPr>
                <w:b/>
                <w:color w:val="FFFFFF"/>
                <w:sz w:val="16"/>
              </w:rPr>
              <w:t>Status</w:t>
            </w:r>
          </w:p>
        </w:tc>
      </w:tr>
      <w:tr>
        <w:trPr>
          <w:cantSplit w:val="true"/>
        </w:trPr>
        <w:tc>
          <w:tcPr>
            <w:tcW w:type="dxa" w:w="2880"/>
            <w:vAlign w:val="top"/>
          </w:tcPr>
          <w:p>
            <w:pPr>
              <w:spacing w:after="0"/>
            </w:pPr>
            <w:r>
              <w:rPr>
                <w:sz w:val="16"/>
              </w:rPr>
              <w:t>ref2/UID_152_Directional_Path_Analysis_All Dependents Not Leveled_2026-6-23-20-30-55.xlsx</w:t>
            </w:r>
          </w:p>
        </w:tc>
        <w:tc>
          <w:tcPr>
            <w:tcW w:type="dxa" w:w="2880"/>
            <w:vAlign w:val="top"/>
          </w:tcPr>
          <w:p>
            <w:pPr>
              <w:spacing w:after="0"/>
            </w:pPr>
            <w:r>
              <w:rPr>
                <w:sz w:val="16"/>
              </w:rPr>
              <w:t>ref1/Large Test File Leveled with Driving Slack.mpp</w:t>
            </w:r>
          </w:p>
        </w:tc>
        <w:tc>
          <w:tcPr>
            <w:tcW w:type="dxa" w:w="648"/>
            <w:vAlign w:val="top"/>
          </w:tcPr>
          <w:p>
            <w:pPr>
              <w:spacing w:after="0"/>
            </w:pPr>
            <w:r>
              <w:rPr>
                <w:sz w:val="16"/>
              </w:rPr>
              <w:t>783</w:t>
            </w:r>
          </w:p>
        </w:tc>
        <w:tc>
          <w:tcPr>
            <w:tcW w:type="dxa" w:w="648"/>
            <w:vAlign w:val="top"/>
          </w:tcPr>
          <w:p>
            <w:pPr>
              <w:spacing w:after="0"/>
            </w:pPr>
            <w:r>
              <w:rPr>
                <w:sz w:val="16"/>
              </w:rPr>
              <w:t>783</w:t>
            </w:r>
          </w:p>
        </w:tc>
        <w:tc>
          <w:tcPr>
            <w:tcW w:type="dxa" w:w="648"/>
            <w:vAlign w:val="top"/>
          </w:tcPr>
          <w:p>
            <w:pPr>
              <w:spacing w:after="0"/>
            </w:pPr>
            <w:r>
              <w:rPr>
                <w:sz w:val="16"/>
              </w:rPr>
              <w:t>783</w:t>
            </w:r>
          </w:p>
        </w:tc>
        <w:tc>
          <w:tcPr>
            <w:tcW w:type="dxa" w:w="648"/>
            <w:vAlign w:val="top"/>
          </w:tcPr>
          <w:p>
            <w:pPr>
              <w:spacing w:after="0"/>
            </w:pPr>
            <w:r>
              <w:rPr>
                <w:sz w:val="16"/>
              </w:rPr>
              <w:t>757</w:t>
            </w:r>
          </w:p>
        </w:tc>
        <w:tc>
          <w:tcPr>
            <w:tcW w:type="dxa" w:w="792"/>
            <w:vAlign w:val="top"/>
          </w:tcPr>
          <w:p>
            <w:pPr>
              <w:spacing w:after="0"/>
            </w:pPr>
            <w:r>
              <w:rPr>
                <w:sz w:val="16"/>
              </w:rPr>
              <w:t>96.68%</w:t>
            </w:r>
          </w:p>
        </w:tc>
        <w:tc>
          <w:tcPr>
            <w:tcW w:type="dxa" w:w="1008"/>
            <w:vAlign w:val="top"/>
          </w:tcPr>
          <w:p>
            <w:pPr>
              <w:spacing w:after="0"/>
            </w:pPr>
            <w:r>
              <w:rPr>
                <w:sz w:val="16"/>
              </w:rPr>
              <w:t>probable</w:t>
            </w:r>
          </w:p>
        </w:tc>
      </w:tr>
      <w:tr>
        <w:trPr>
          <w:cantSplit w:val="true"/>
        </w:trPr>
        <w:tc>
          <w:tcPr>
            <w:tcW w:type="dxa" w:w="2880"/>
            <w:vAlign w:val="top"/>
          </w:tcPr>
          <w:p>
            <w:pPr>
              <w:spacing w:after="0"/>
            </w:pPr>
            <w:r>
              <w:rPr>
                <w:sz w:val="16"/>
              </w:rPr>
              <w:t>ref2/UID_152_Directional_Path_Analysis_Leveled_All_Dependents_2026-6-23-20-28-26.xlsx</w:t>
            </w:r>
          </w:p>
        </w:tc>
        <w:tc>
          <w:tcPr>
            <w:tcW w:type="dxa" w:w="2880"/>
            <w:vAlign w:val="top"/>
          </w:tcPr>
          <w:p>
            <w:pPr>
              <w:spacing w:after="0"/>
            </w:pPr>
            <w:r>
              <w:rPr>
                <w:sz w:val="16"/>
              </w:rPr>
              <w:t>ref1/.mpp test files/Large Test File/Large Test File Leveled.mpp</w:t>
            </w:r>
          </w:p>
        </w:tc>
        <w:tc>
          <w:tcPr>
            <w:tcW w:type="dxa" w:w="648"/>
            <w:vAlign w:val="top"/>
          </w:tcPr>
          <w:p>
            <w:pPr>
              <w:spacing w:after="0"/>
            </w:pPr>
            <w:r>
              <w:rPr>
                <w:sz w:val="16"/>
              </w:rPr>
              <w:t>783</w:t>
            </w:r>
          </w:p>
        </w:tc>
        <w:tc>
          <w:tcPr>
            <w:tcW w:type="dxa" w:w="648"/>
            <w:vAlign w:val="top"/>
          </w:tcPr>
          <w:p>
            <w:pPr>
              <w:spacing w:after="0"/>
            </w:pPr>
            <w:r>
              <w:rPr>
                <w:sz w:val="16"/>
              </w:rPr>
              <w:t>783</w:t>
            </w:r>
          </w:p>
        </w:tc>
        <w:tc>
          <w:tcPr>
            <w:tcW w:type="dxa" w:w="648"/>
            <w:vAlign w:val="top"/>
          </w:tcPr>
          <w:p>
            <w:pPr>
              <w:spacing w:after="0"/>
            </w:pPr>
            <w:r>
              <w:rPr>
                <w:sz w:val="16"/>
              </w:rPr>
              <w:t>783</w:t>
            </w:r>
          </w:p>
        </w:tc>
        <w:tc>
          <w:tcPr>
            <w:tcW w:type="dxa" w:w="648"/>
            <w:vAlign w:val="top"/>
          </w:tcPr>
          <w:p>
            <w:pPr>
              <w:spacing w:after="0"/>
            </w:pPr>
            <w:r>
              <w:rPr>
                <w:sz w:val="16"/>
              </w:rPr>
              <w:t>753</w:t>
            </w:r>
          </w:p>
        </w:tc>
        <w:tc>
          <w:tcPr>
            <w:tcW w:type="dxa" w:w="792"/>
            <w:vAlign w:val="top"/>
          </w:tcPr>
          <w:p>
            <w:pPr>
              <w:spacing w:after="0"/>
            </w:pPr>
            <w:r>
              <w:rPr>
                <w:sz w:val="16"/>
              </w:rPr>
              <w:t>96.17%</w:t>
            </w:r>
          </w:p>
        </w:tc>
        <w:tc>
          <w:tcPr>
            <w:tcW w:type="dxa" w:w="1008"/>
            <w:vAlign w:val="top"/>
          </w:tcPr>
          <w:p>
            <w:pPr>
              <w:spacing w:after="0"/>
            </w:pPr>
            <w:r>
              <w:rPr>
                <w:sz w:val="16"/>
              </w:rPr>
              <w:t>probable</w:t>
            </w:r>
          </w:p>
        </w:tc>
      </w:tr>
      <w:tr>
        <w:trPr>
          <w:cantSplit w:val="true"/>
        </w:trPr>
        <w:tc>
          <w:tcPr>
            <w:tcW w:type="dxa" w:w="2880"/>
            <w:vAlign w:val="top"/>
          </w:tcPr>
          <w:p>
            <w:pPr>
              <w:spacing w:after="0"/>
            </w:pPr>
            <w:r>
              <w:rPr>
                <w:sz w:val="16"/>
              </w:rPr>
              <w:t>ref2/UID_4_Directional_Path_Analysis_2026-6-23-15-42-46.xlsx</w:t>
            </w:r>
          </w:p>
        </w:tc>
        <w:tc>
          <w:tcPr>
            <w:tcW w:type="dxa" w:w="2880"/>
            <w:vAlign w:val="top"/>
          </w:tcPr>
          <w:p>
            <w:pPr>
              <w:spacing w:after="0"/>
            </w:pPr>
            <w:r>
              <w:rPr>
                <w:sz w:val="16"/>
              </w:rPr>
              <w:t>ref1/5 Task Test File.mpp</w:t>
            </w:r>
          </w:p>
        </w:tc>
        <w:tc>
          <w:tcPr>
            <w:tcW w:type="dxa" w:w="648"/>
            <w:vAlign w:val="top"/>
          </w:tcPr>
          <w:p>
            <w:pPr>
              <w:spacing w:after="0"/>
            </w:pPr>
            <w:r>
              <w:rPr>
                <w:sz w:val="16"/>
              </w:rPr>
              <w:t>4</w:t>
            </w:r>
          </w:p>
        </w:tc>
        <w:tc>
          <w:tcPr>
            <w:tcW w:type="dxa" w:w="648"/>
            <w:vAlign w:val="top"/>
          </w:tcPr>
          <w:p>
            <w:pPr>
              <w:spacing w:after="0"/>
            </w:pPr>
            <w:r>
              <w:rPr>
                <w:sz w:val="16"/>
              </w:rPr>
              <w:t>4</w:t>
            </w:r>
          </w:p>
        </w:tc>
        <w:tc>
          <w:tcPr>
            <w:tcW w:type="dxa" w:w="648"/>
            <w:vAlign w:val="top"/>
          </w:tcPr>
          <w:p>
            <w:pPr>
              <w:spacing w:after="0"/>
            </w:pPr>
            <w:r>
              <w:rPr>
                <w:sz w:val="16"/>
              </w:rPr>
              <w:t>4</w:t>
            </w:r>
          </w:p>
        </w:tc>
        <w:tc>
          <w:tcPr>
            <w:tcW w:type="dxa" w:w="648"/>
            <w:vAlign w:val="top"/>
          </w:tcPr>
          <w:p>
            <w:pPr>
              <w:spacing w:after="0"/>
            </w:pPr>
            <w:r>
              <w:rPr>
                <w:sz w:val="16"/>
              </w:rPr>
              <w:t>1</w:t>
            </w:r>
          </w:p>
        </w:tc>
        <w:tc>
          <w:tcPr>
            <w:tcW w:type="dxa" w:w="792"/>
            <w:vAlign w:val="top"/>
          </w:tcPr>
          <w:p>
            <w:pPr>
              <w:spacing w:after="0"/>
            </w:pPr>
            <w:r>
              <w:rPr>
                <w:sz w:val="16"/>
              </w:rPr>
              <w:t>25.00%</w:t>
            </w:r>
          </w:p>
        </w:tc>
        <w:tc>
          <w:tcPr>
            <w:tcW w:type="dxa" w:w="1008"/>
            <w:vAlign w:val="top"/>
          </w:tcPr>
          <w:p>
            <w:pPr>
              <w:spacing w:after="0"/>
            </w:pPr>
            <w:r>
              <w:rPr>
                <w:sz w:val="16"/>
              </w:rPr>
              <w:t>structural-only</w:t>
            </w:r>
          </w:p>
        </w:tc>
      </w:tr>
      <w:tr>
        <w:trPr>
          <w:cantSplit w:val="true"/>
        </w:trPr>
        <w:tc>
          <w:tcPr>
            <w:tcW w:type="dxa" w:w="2880"/>
            <w:vAlign w:val="top"/>
          </w:tcPr>
          <w:p>
            <w:pPr>
              <w:spacing w:after="0"/>
            </w:pPr>
            <w:r>
              <w:rPr>
                <w:sz w:val="16"/>
              </w:rPr>
              <w:t>ref2/UID_4_Directional_Path_Analysis_Progress_2026-6-23-16-0-6.xlsx</w:t>
            </w:r>
          </w:p>
        </w:tc>
        <w:tc>
          <w:tcPr>
            <w:tcW w:type="dxa" w:w="2880"/>
            <w:vAlign w:val="top"/>
          </w:tcPr>
          <w:p>
            <w:pPr>
              <w:spacing w:after="0"/>
            </w:pPr>
            <w:r>
              <w:rPr>
                <w:sz w:val="16"/>
              </w:rPr>
              <w:t>ref1/5 Task Test File.mpp</w:t>
            </w:r>
          </w:p>
        </w:tc>
        <w:tc>
          <w:tcPr>
            <w:tcW w:type="dxa" w:w="648"/>
            <w:vAlign w:val="top"/>
          </w:tcPr>
          <w:p>
            <w:pPr>
              <w:spacing w:after="0"/>
            </w:pPr>
            <w:r>
              <w:rPr>
                <w:sz w:val="16"/>
              </w:rPr>
              <w:t>4</w:t>
            </w:r>
          </w:p>
        </w:tc>
        <w:tc>
          <w:tcPr>
            <w:tcW w:type="dxa" w:w="648"/>
            <w:vAlign w:val="top"/>
          </w:tcPr>
          <w:p>
            <w:pPr>
              <w:spacing w:after="0"/>
            </w:pPr>
            <w:r>
              <w:rPr>
                <w:sz w:val="16"/>
              </w:rPr>
              <w:t>4</w:t>
            </w:r>
          </w:p>
        </w:tc>
        <w:tc>
          <w:tcPr>
            <w:tcW w:type="dxa" w:w="648"/>
            <w:vAlign w:val="top"/>
          </w:tcPr>
          <w:p>
            <w:pPr>
              <w:spacing w:after="0"/>
            </w:pPr>
            <w:r>
              <w:rPr>
                <w:sz w:val="16"/>
              </w:rPr>
              <w:t>4</w:t>
            </w:r>
          </w:p>
        </w:tc>
        <w:tc>
          <w:tcPr>
            <w:tcW w:type="dxa" w:w="648"/>
            <w:vAlign w:val="top"/>
          </w:tcPr>
          <w:p>
            <w:pPr>
              <w:spacing w:after="0"/>
            </w:pPr>
            <w:r>
              <w:rPr>
                <w:sz w:val="16"/>
              </w:rPr>
              <w:t>1</w:t>
            </w:r>
          </w:p>
        </w:tc>
        <w:tc>
          <w:tcPr>
            <w:tcW w:type="dxa" w:w="792"/>
            <w:vAlign w:val="top"/>
          </w:tcPr>
          <w:p>
            <w:pPr>
              <w:spacing w:after="0"/>
            </w:pPr>
            <w:r>
              <w:rPr>
                <w:sz w:val="16"/>
              </w:rPr>
              <w:t>25.00%</w:t>
            </w:r>
          </w:p>
        </w:tc>
        <w:tc>
          <w:tcPr>
            <w:tcW w:type="dxa" w:w="1008"/>
            <w:vAlign w:val="top"/>
          </w:tcPr>
          <w:p>
            <w:pPr>
              <w:spacing w:after="0"/>
            </w:pPr>
            <w:r>
              <w:rPr>
                <w:sz w:val="16"/>
              </w:rPr>
              <w:t>structural-only</w:t>
            </w:r>
          </w:p>
        </w:tc>
      </w:tr>
    </w:tbl>
    <w:p/>
    <w:p>
      <w:r>
        <w:t>These four are structural/probable tests only. Restore the exact source snapshots or regenerate the exports before exact parity use.</w:t>
      </w:r>
    </w:p>
    <w:p>
      <w:pPr>
        <w:pStyle w:val="Heading2"/>
      </w:pPr>
      <w:r>
        <w:t>AFW and naming ambiguities</w:t>
      </w:r>
    </w:p>
    <w:p>
      <w:r>
        <w:t>ref2/2345.afw resolves Project5_TAMPERED.mpp to three distinct archive payloads. It proves an equivalence class but not a unique binary. The Large Test File OverAl Fixed SSI workbook also exactly matches a differently named Not Leveled source, proving filename inference unsafe.</w:t>
      </w:r>
    </w:p>
    <w:p>
      <w:pPr>
        <w:pStyle w:val="Heading1"/>
      </w:pPr>
      <w:r>
        <w:t>Repository audit boundary</w:t>
      </w:r>
    </w:p>
    <w:p>
      <w:r>
        <w:t>The current repository was reviewed through GitHub and the repository-owned full inventory, with direct checks of build configuration, CI, state documentation, formula-audit code, parity tests and golden cases. The code architecture is importer -&gt; immutable Schedule model -&gt; CPM/metrics -&gt; FastAPI web layer, with local-only AI and strict parity gates.</w:t>
      </w:r>
    </w:p>
    <w:p>
      <w:r>
        <w:t>GitHub commit comparison shows the current head is 11 commits ahead of the last documented green code head and changes only nine reference paths: seven XER removals, one modified Hard_File_updated3.mpp, and the 24-hour MPP rename. No source, test, build, CI, or documentation code path changed. The code state therefore equals the last documented green code head, which reports 2,208 tests and all gates green. The current binary reference changes still were not locally executed because the runtime could not obtain a checkout and no workflow run was visible. Run repo_hardened_audit.py in Claude Code to close that final gate.</w:t>
      </w:r>
    </w:p>
    <w:p>
      <w:pPr>
        <w:pStyle w:val="Heading1"/>
      </w:pPr>
      <w:r>
        <w:t>Acumen metric identity and comparison</w:t>
      </w:r>
    </w:p>
    <w:p>
      <w:r>
        <w:t>Key by group + GUID + version + display name. Preserve Primary Formula, Secondary Formula, Tripwire/Highlight Formula, separate filters/inclusions, phase/date basis, prorating, thresholds, columns and detailed-report options. Compare count/numerator, population/denominator, raw value, displayed value, offender UID set, threshold band, Fail flag and detailed rows independently.</w:t>
      </w:r>
    </w:p>
    <w:p>
      <w:r>
        <w:t>The repository pins the 20260423 AFT as the normative Bible. The 20260708 AFT is later reference evidence and requires an ADR plus regenerated parity before promotion.</w:t>
      </w:r>
    </w:p>
    <w:p>
      <w:pPr>
        <w:pStyle w:val="Heading1"/>
      </w:pPr>
      <w:r>
        <w:t>SSI comparison contract</w:t>
      </w:r>
    </w:p>
    <w:p>
      <w:r>
        <w:t>Persist SSI version, source hash, focus UID, direction, all-dependencies mode, constraint and leveling-delay handling, tier bands, calendar convention and export timestamp. Exact tests compare UID set, task name, Start, Finish, Driving Slack, Trace Log tier and ordered driving-path sequence.</w:t>
      </w:r>
    </w:p>
    <w:p>
      <w:pPr>
        <w:pStyle w:val="Heading1"/>
      </w:pPr>
      <w:r>
        <w:t>Predictable outputs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val="true"/>
        </w:trPr>
        <w:tc>
          <w:tcPr>
            <w:tcW w:type="dxa" w:w="1800"/>
            <w:shd w:fill="44546A"/>
          </w:tcPr>
          <w:p>
            <w:r>
              <w:rPr>
                <w:b/>
                <w:color w:val="FFFFFF"/>
                <w:sz w:val="16"/>
              </w:rPr>
              <w:t>Case</w:t>
            </w:r>
          </w:p>
        </w:tc>
        <w:tc>
          <w:tcPr>
            <w:tcW w:type="dxa" w:w="1944"/>
            <w:shd w:fill="44546A"/>
          </w:tcPr>
          <w:p>
            <w:r>
              <w:rPr>
                <w:b/>
                <w:color w:val="FFFFFF"/>
                <w:sz w:val="16"/>
              </w:rPr>
              <w:t>Mode</w:t>
            </w:r>
          </w:p>
        </w:tc>
        <w:tc>
          <w:tcPr>
            <w:tcW w:type="dxa" w:w="5616"/>
            <w:shd w:fill="44546A"/>
          </w:tcPr>
          <w:p>
            <w:r>
              <w:rPr>
                <w:b/>
                <w:color w:val="FFFFFF"/>
                <w:sz w:val="16"/>
              </w:rPr>
              <w:t>Expected summary</w:t>
            </w:r>
          </w:p>
        </w:tc>
        <w:tc>
          <w:tcPr>
            <w:tcW w:type="dxa" w:w="1872"/>
            <w:shd w:fill="44546A"/>
          </w:tcPr>
          <w:p>
            <w:r>
              <w:rPr>
                <w:b/>
                <w:color w:val="FFFFFF"/>
                <w:sz w:val="16"/>
              </w:rPr>
              <w:t>Source</w:t>
            </w:r>
          </w:p>
        </w:tc>
      </w:tr>
      <w:tr>
        <w:trPr>
          <w:cantSplit w:val="true"/>
        </w:trPr>
        <w:tc>
          <w:tcPr>
            <w:tcW w:type="dxa" w:w="1800"/>
            <w:vAlign w:val="top"/>
          </w:tcPr>
          <w:p>
            <w:pPr>
              <w:spacing w:after="0"/>
            </w:pPr>
            <w:r>
              <w:rPr>
                <w:sz w:val="16"/>
              </w:rPr>
              <w:t>ACUMEN-PROJECT2</w:t>
            </w:r>
          </w:p>
        </w:tc>
        <w:tc>
          <w:tcPr>
            <w:tcW w:type="dxa" w:w="1944"/>
            <w:vAlign w:val="top"/>
          </w:tcPr>
          <w:p>
            <w:pPr>
              <w:spacing w:after="0"/>
            </w:pPr>
            <w:r>
              <w:rPr>
                <w:sz w:val="16"/>
              </w:rPr>
              <w:t>exact</w:t>
            </w:r>
          </w:p>
        </w:tc>
        <w:tc>
          <w:tcPr>
            <w:tcW w:type="dxa" w:w="5616"/>
            <w:vAlign w:val="top"/>
          </w:tcPr>
          <w:p>
            <w:pPr>
              <w:spacing w:after="0"/>
            </w:pPr>
            <w:r>
              <w:rPr>
                <w:sz w:val="16"/>
              </w:rPr>
              <w:t>{"schedule_quality": {"missing_logic": 6, "logic_density": 2.79, "critical": 41, "hard_constraints": 0, "negative_float": 0, "insufficient_detail": 1, "number_of_lags": 2, "number_of_leads": 0, "merge_hotspot": 10}, "dcma14": {"DCMA01": 4, "DCMA02": 0, "DCMA03": 2, "DCMA04_FS_pct": 99, "DCMA04_SSFF": 1, "DCMA04_SF": 0, "DCMA05": 0, "DCMA06": 44, "DCMA07": 0, "DCMA08": 1, "DCMA09": 0, "DCMA10": 0, "DCMA11": 18, "DCMA12": "PASS", "DCMA13": 1.0, "DCMA14": 0.74}, "baseline_compliance": {"forecast_to_be_finished": 27, "completed_on_time": 9, "completed_late": 11, "not_completed": 7, "baseline_finish_compliance_pct": 33, "forecast_to_be_started": 29, "started_on_time": 11, "started_late": 12, "not_started": 6, "baseline_start_compliance_pct": 41}}</w:t>
            </w:r>
          </w:p>
        </w:tc>
        <w:tc>
          <w:tcPr>
            <w:tcW w:type="dxa" w:w="1872"/>
            <w:vAlign w:val="top"/>
          </w:tcPr>
          <w:p>
            <w:pPr>
              <w:spacing w:after="0"/>
            </w:pPr>
            <w:r>
              <w:rPr>
                <w:sz w:val="16"/>
              </w:rPr>
              <w:t>tests/fixtures/golden/project2_5/case.json</w:t>
            </w:r>
          </w:p>
        </w:tc>
      </w:tr>
      <w:tr>
        <w:trPr>
          <w:cantSplit w:val="true"/>
        </w:trPr>
        <w:tc>
          <w:tcPr>
            <w:tcW w:type="dxa" w:w="1800"/>
            <w:vAlign w:val="top"/>
          </w:tcPr>
          <w:p>
            <w:pPr>
              <w:spacing w:after="0"/>
            </w:pPr>
            <w:r>
              <w:rPr>
                <w:sz w:val="16"/>
              </w:rPr>
              <w:t>ACUMEN-PROJECT5</w:t>
            </w:r>
          </w:p>
        </w:tc>
        <w:tc>
          <w:tcPr>
            <w:tcW w:type="dxa" w:w="1944"/>
            <w:vAlign w:val="top"/>
          </w:tcPr>
          <w:p>
            <w:pPr>
              <w:spacing w:after="0"/>
            </w:pPr>
            <w:r>
              <w:rPr>
                <w:sz w:val="16"/>
              </w:rPr>
              <w:t>exact_with_documented_basis_variants</w:t>
            </w:r>
          </w:p>
        </w:tc>
        <w:tc>
          <w:tcPr>
            <w:tcW w:type="dxa" w:w="5616"/>
            <w:vAlign w:val="top"/>
          </w:tcPr>
          <w:p>
            <w:pPr>
              <w:spacing w:after="0"/>
            </w:pPr>
            <w:r>
              <w:rPr>
                <w:sz w:val="16"/>
              </w:rPr>
              <w:t>{"schedule_quality": {"missing_logic": 7, "logic_density": 2.81, "critical": 4, "hard_constraints": 1, "negative_float": 0, "insufficient_detail": 0, "number_of_lags": 2, "number_of_leads": 0, "merge_hotspot": 10}, "dcma14": {"DCMA01": 5, "DCMA02": 0, "DCMA03": 1, "DCMA04_FS_pct": 99, "DCMA04_SSFF": 0, "DCMA04_SF": 0, "DCMA05": 1, "DCMA06": 44, "DCMA07": 0, "DCMA08": 0, "DCMA09": 0, "DCMA10": 0, "DCMA11": 37, "DCMA12": "PASS", "DCMA13": 1.0, "DCMA14": 0.59}, "baseline_compliance": {"forecast_to_be_finished": 46, "completed_on_time": 9, "completed_late": 18, "not_completed": 19, "baseline_finish_compliance_pct": 20, "forecast_to_be_started": 48, "started_on_time": 11, "started_late": 18, "not_started": 19, "baseline_start_compliance_pct": 25}, "change_from_project2": {"activities_added": 0, "new_critical": 1, "no_longer_critical": 34, "finish_date_slips": 9, "start_date_slips": 9, "remaining_duration_increases": 9, "float_erosion": 1, "completed": 27, "in_progress": 2, "net_finish_impact_engine_cpm_days": -148, "net_finish_impact_fuse_stored_days": -134}}</w:t>
            </w:r>
          </w:p>
        </w:tc>
        <w:tc>
          <w:tcPr>
            <w:tcW w:type="dxa" w:w="1872"/>
            <w:vAlign w:val="top"/>
          </w:tcPr>
          <w:p>
            <w:pPr>
              <w:spacing w:after="0"/>
            </w:pPr>
            <w:r>
              <w:rPr>
                <w:sz w:val="16"/>
              </w:rPr>
              <w:t>tests/fixtures/golden/project2_5/case.json</w:t>
            </w:r>
          </w:p>
        </w:tc>
      </w:tr>
      <w:tr>
        <w:trPr>
          <w:cantSplit w:val="true"/>
        </w:trPr>
        <w:tc>
          <w:tcPr>
            <w:tcW w:type="dxa" w:w="1800"/>
            <w:vAlign w:val="top"/>
          </w:tcPr>
          <w:p>
            <w:pPr>
              <w:spacing w:after="0"/>
            </w:pPr>
            <w:r>
              <w:rPr>
                <w:sz w:val="16"/>
              </w:rPr>
              <w:t>ACUMEN-HARD-FILE</w:t>
            </w:r>
          </w:p>
        </w:tc>
        <w:tc>
          <w:tcPr>
            <w:tcW w:type="dxa" w:w="1944"/>
            <w:vAlign w:val="top"/>
          </w:tcPr>
          <w:p>
            <w:pPr>
              <w:spacing w:after="0"/>
            </w:pPr>
            <w:r>
              <w:rPr>
                <w:sz w:val="16"/>
              </w:rPr>
              <w:t>exact_with_documented_divergences</w:t>
            </w:r>
          </w:p>
        </w:tc>
        <w:tc>
          <w:tcPr>
            <w:tcW w:type="dxa" w:w="5616"/>
            <w:vAlign w:val="top"/>
          </w:tcPr>
          <w:p>
            <w:pPr>
              <w:spacing w:after="0"/>
            </w:pPr>
            <w:r>
              <w:rPr>
                <w:sz w:val="16"/>
              </w:rPr>
              <w:t>{"status_date": "2026-07-07", "missing_logic": 7, "hard_constraints": 0, "high_float_44d": 2, "milestones_with_duration_gt_0": 0, "tasks_and_milestones_to_go": 110, "milestones_to_go": 25, "normal_tasks_to_go": 85, "normal_tasks_to_go_in_progress": 0}</w:t>
            </w:r>
          </w:p>
        </w:tc>
        <w:tc>
          <w:tcPr>
            <w:tcW w:type="dxa" w:w="1872"/>
            <w:vAlign w:val="top"/>
          </w:tcPr>
          <w:p>
            <w:pPr>
              <w:spacing w:after="0"/>
            </w:pPr>
            <w:r>
              <w:rPr>
                <w:sz w:val="16"/>
              </w:rPr>
              <w:t>tests/fixtures/golden/fuse_hardfile/case.json</w:t>
            </w:r>
          </w:p>
        </w:tc>
      </w:tr>
      <w:tr>
        <w:trPr>
          <w:cantSplit w:val="true"/>
        </w:trPr>
        <w:tc>
          <w:tcPr>
            <w:tcW w:type="dxa" w:w="1800"/>
            <w:vAlign w:val="top"/>
          </w:tcPr>
          <w:p>
            <w:pPr>
              <w:spacing w:after="0"/>
            </w:pPr>
            <w:r>
              <w:rPr>
                <w:sz w:val="16"/>
              </w:rPr>
              <w:t>ACUMEN-HARD-FILE-UPDATED</w:t>
            </w:r>
          </w:p>
        </w:tc>
        <w:tc>
          <w:tcPr>
            <w:tcW w:type="dxa" w:w="1944"/>
            <w:vAlign w:val="top"/>
          </w:tcPr>
          <w:p>
            <w:pPr>
              <w:spacing w:after="0"/>
            </w:pPr>
            <w:r>
              <w:rPr>
                <w:sz w:val="16"/>
              </w:rPr>
              <w:t>exact_with_documented_divergences</w:t>
            </w:r>
          </w:p>
        </w:tc>
        <w:tc>
          <w:tcPr>
            <w:tcW w:type="dxa" w:w="5616"/>
            <w:vAlign w:val="top"/>
          </w:tcPr>
          <w:p>
            <w:pPr>
              <w:spacing w:after="0"/>
            </w:pPr>
            <w:r>
              <w:rPr>
                <w:sz w:val="16"/>
              </w:rPr>
              <w:t>{"status_date": "2026-08-11", "hard_constraints": 0, "high_float_44d": 6, "milestones_with_duration_gt_0": 0, "tasks_and_milestones_to_go": 103, "milestones_to_go": 24, "normal_tasks_to_go": 79, "normal_tasks_to_go_in_progress": 1, "bei_value_tasks": 0.27, "spi_t_acumen": 0.8}</w:t>
            </w:r>
          </w:p>
        </w:tc>
        <w:tc>
          <w:tcPr>
            <w:tcW w:type="dxa" w:w="1872"/>
            <w:vAlign w:val="top"/>
          </w:tcPr>
          <w:p>
            <w:pPr>
              <w:spacing w:after="0"/>
            </w:pPr>
            <w:r>
              <w:rPr>
                <w:sz w:val="16"/>
              </w:rPr>
              <w:t>tests/fixtures/golden/fuse_hardfile/case.json</w:t>
            </w:r>
          </w:p>
        </w:tc>
      </w:tr>
      <w:tr>
        <w:trPr>
          <w:cantSplit w:val="true"/>
        </w:trPr>
        <w:tc>
          <w:tcPr>
            <w:tcW w:type="dxa" w:w="1800"/>
            <w:vAlign w:val="top"/>
          </w:tcPr>
          <w:p>
            <w:pPr>
              <w:spacing w:after="0"/>
            </w:pPr>
            <w:r>
              <w:rPr>
                <w:sz w:val="16"/>
              </w:rPr>
              <w:t>ACUMEN-HARD-FILE-UPDATED2</w:t>
            </w:r>
          </w:p>
        </w:tc>
        <w:tc>
          <w:tcPr>
            <w:tcW w:type="dxa" w:w="1944"/>
            <w:vAlign w:val="top"/>
          </w:tcPr>
          <w:p>
            <w:pPr>
              <w:spacing w:after="0"/>
            </w:pPr>
            <w:r>
              <w:rPr>
                <w:sz w:val="16"/>
              </w:rPr>
              <w:t>exact_uid_sets</w:t>
            </w:r>
          </w:p>
        </w:tc>
        <w:tc>
          <w:tcPr>
            <w:tcW w:type="dxa" w:w="5616"/>
            <w:vAlign w:val="top"/>
          </w:tcPr>
          <w:p>
            <w:pPr>
              <w:spacing w:after="0"/>
            </w:pPr>
            <w:r>
              <w:rPr>
                <w:sz w:val="16"/>
              </w:rPr>
              <w:t>{"status_date": "2026-09-10", "bei_value_tasks": 0.59, "spi_t_acumen": 1.14, "invalid_forecast_dates_count": 21, "critical_path_count": 54, "negative_float_count": 54, "fuse_missing_logic_count": 6, "engine_missing_logic_count": 9, "documented_extra_uids": [187, 400, 412]}</w:t>
            </w:r>
          </w:p>
        </w:tc>
        <w:tc>
          <w:tcPr>
            <w:tcW w:type="dxa" w:w="1872"/>
            <w:vAlign w:val="top"/>
          </w:tcPr>
          <w:p>
            <w:pPr>
              <w:spacing w:after="0"/>
            </w:pPr>
            <w:r>
              <w:rPr>
                <w:sz w:val="16"/>
              </w:rPr>
              <w:t>tests/fixtures/golden/fuse_hardfile/case.json</w:t>
            </w:r>
          </w:p>
        </w:tc>
      </w:tr>
      <w:tr>
        <w:trPr>
          <w:cantSplit w:val="true"/>
        </w:trPr>
        <w:tc>
          <w:tcPr>
            <w:tcW w:type="dxa" w:w="1800"/>
            <w:vAlign w:val="top"/>
          </w:tcPr>
          <w:p>
            <w:pPr>
              <w:spacing w:after="0"/>
            </w:pPr>
            <w:r>
              <w:rPr>
                <w:sz w:val="16"/>
              </w:rPr>
              <w:t>ACUMEN-HARD-FILE-UPDATED3</w:t>
            </w:r>
          </w:p>
        </w:tc>
        <w:tc>
          <w:tcPr>
            <w:tcW w:type="dxa" w:w="1944"/>
            <w:vAlign w:val="top"/>
          </w:tcPr>
          <w:p>
            <w:pPr>
              <w:spacing w:after="0"/>
            </w:pPr>
            <w:r>
              <w:rPr>
                <w:sz w:val="16"/>
              </w:rPr>
              <w:t>exact_uid_sets</w:t>
            </w:r>
          </w:p>
        </w:tc>
        <w:tc>
          <w:tcPr>
            <w:tcW w:type="dxa" w:w="5616"/>
            <w:vAlign w:val="top"/>
          </w:tcPr>
          <w:p>
            <w:pPr>
              <w:spacing w:after="0"/>
            </w:pPr>
            <w:r>
              <w:rPr>
                <w:sz w:val="16"/>
              </w:rPr>
              <w:t>{"status_date": "2026-10-12", "bei_value_tasks": 0.47, "spi_t_acumen": 1.25, "invalid_forecast_dates_count": 0, "critical_path_count": 50, "negative_float_count": 50, "fuse_missing_logic_count": 6, "engine_missing_logic_count": 9, "documented_extra_uids": [187, 400, 412]}</w:t>
            </w:r>
          </w:p>
        </w:tc>
        <w:tc>
          <w:tcPr>
            <w:tcW w:type="dxa" w:w="1872"/>
            <w:vAlign w:val="top"/>
          </w:tcPr>
          <w:p>
            <w:pPr>
              <w:spacing w:after="0"/>
            </w:pPr>
            <w:r>
              <w:rPr>
                <w:sz w:val="16"/>
              </w:rPr>
              <w:t>tests/fixtures/golden/fuse_hardfile/case.json</w:t>
            </w:r>
          </w:p>
        </w:tc>
      </w:tr>
      <w:tr>
        <w:trPr>
          <w:cantSplit w:val="true"/>
        </w:trPr>
        <w:tc>
          <w:tcPr>
            <w:tcW w:type="dxa" w:w="1800"/>
            <w:vAlign w:val="top"/>
          </w:tcPr>
          <w:p>
            <w:pPr>
              <w:spacing w:after="0"/>
            </w:pPr>
            <w:r>
              <w:rPr>
                <w:sz w:val="16"/>
              </w:rPr>
              <w:t>ACUMEN-EVM1</w:t>
            </w:r>
          </w:p>
        </w:tc>
        <w:tc>
          <w:tcPr>
            <w:tcW w:type="dxa" w:w="1944"/>
            <w:vAlign w:val="top"/>
          </w:tcPr>
          <w:p>
            <w:pPr>
              <w:spacing w:after="0"/>
            </w:pPr>
            <w:r>
              <w:rPr>
                <w:sz w:val="16"/>
              </w:rPr>
              <w:t>exact</w:t>
            </w:r>
          </w:p>
        </w:tc>
        <w:tc>
          <w:tcPr>
            <w:tcW w:type="dxa" w:w="5616"/>
            <w:vAlign w:val="top"/>
          </w:tcPr>
          <w:p>
            <w:pPr>
              <w:spacing w:after="0"/>
            </w:pPr>
            <w:r>
              <w:rPr>
                <w:sz w:val="16"/>
              </w:rPr>
              <w:t>{"status_date": "2012-09-01T17:00", "non_summary_tasks": 11, "critical": 10, "DCMA01": 2, "DCMA05": 0, "DCMA07": 0, "DCMA06": 0, "DCMA04_FS_pct": 100, "BEI": 0.0, "project_finish": "2012-09-12"}</w:t>
            </w:r>
          </w:p>
        </w:tc>
        <w:tc>
          <w:tcPr>
            <w:tcW w:type="dxa" w:w="1872"/>
            <w:vAlign w:val="top"/>
          </w:tcPr>
          <w:p>
            <w:pPr>
              <w:spacing w:after="0"/>
            </w:pPr>
            <w:r>
              <w:rPr>
                <w:sz w:val="16"/>
              </w:rPr>
              <w:t>tests/engine/test_evm_acumen_reference.py</w:t>
            </w:r>
          </w:p>
        </w:tc>
      </w:tr>
      <w:tr>
        <w:trPr>
          <w:cantSplit w:val="true"/>
        </w:trPr>
        <w:tc>
          <w:tcPr>
            <w:tcW w:type="dxa" w:w="1800"/>
            <w:vAlign w:val="top"/>
          </w:tcPr>
          <w:p>
            <w:pPr>
              <w:spacing w:after="0"/>
            </w:pPr>
            <w:r>
              <w:rPr>
                <w:sz w:val="16"/>
              </w:rPr>
              <w:t>ACUMEN-EVM2</w:t>
            </w:r>
          </w:p>
        </w:tc>
        <w:tc>
          <w:tcPr>
            <w:tcW w:type="dxa" w:w="1944"/>
            <w:vAlign w:val="top"/>
          </w:tcPr>
          <w:p>
            <w:pPr>
              <w:spacing w:after="0"/>
            </w:pPr>
            <w:r>
              <w:rPr>
                <w:sz w:val="16"/>
              </w:rPr>
              <w:t>exact_plus_known_progress_scheduler_residual</w:t>
            </w:r>
          </w:p>
        </w:tc>
        <w:tc>
          <w:tcPr>
            <w:tcW w:type="dxa" w:w="5616"/>
            <w:vAlign w:val="top"/>
          </w:tcPr>
          <w:p>
            <w:pPr>
              <w:spacing w:after="0"/>
            </w:pPr>
            <w:r>
              <w:rPr>
                <w:sz w:val="16"/>
              </w:rPr>
              <w:t>{"status_date": "2012-09-12T17:00", "non_summary_tasks": 11, "critical": 8, "DCMA01": 1, "DCMA05": 0, "DCMA07": 0, "DCMA06": 0, "DCMA04_FS_pct": 100, "BEI": 0.25, "engine_project_finish": "2012-10-01", "acumen_project_finish": "2012-10-04", "engine_net_finish_impact": -19.0, "acumen_net_finish_impact": -22.0, "acumen_spi_t_target": 0.56}</w:t>
            </w:r>
          </w:p>
        </w:tc>
        <w:tc>
          <w:tcPr>
            <w:tcW w:type="dxa" w:w="1872"/>
            <w:vAlign w:val="top"/>
          </w:tcPr>
          <w:p>
            <w:pPr>
              <w:spacing w:after="0"/>
            </w:pPr>
            <w:r>
              <w:rPr>
                <w:sz w:val="16"/>
              </w:rPr>
              <w:t>tests/engine/test_evm_acumen_reference.py</w:t>
            </w:r>
          </w:p>
        </w:tc>
      </w:tr>
      <w:tr>
        <w:trPr>
          <w:cantSplit w:val="true"/>
        </w:trPr>
        <w:tc>
          <w:tcPr>
            <w:tcW w:type="dxa" w:w="1800"/>
            <w:vAlign w:val="top"/>
          </w:tcPr>
          <w:p>
            <w:pPr>
              <w:spacing w:after="0"/>
            </w:pPr>
            <w:r>
              <w:rPr>
                <w:sz w:val="16"/>
              </w:rPr>
              <w:t>SSI-CORPUS</w:t>
            </w:r>
          </w:p>
        </w:tc>
        <w:tc>
          <w:tcPr>
            <w:tcW w:type="dxa" w:w="1944"/>
            <w:vAlign w:val="top"/>
          </w:tcPr>
          <w:p>
            <w:pPr>
              <w:spacing w:after="0"/>
            </w:pPr>
            <w:r>
              <w:rPr>
                <w:sz w:val="16"/>
              </w:rPr>
              <w:t>row_exact_or_explicitly_blocked</w:t>
            </w:r>
          </w:p>
        </w:tc>
        <w:tc>
          <w:tcPr>
            <w:tcW w:type="dxa" w:w="5616"/>
            <w:vAlign w:val="top"/>
          </w:tcPr>
          <w:p>
            <w:pPr>
              <w:spacing w:after="0"/>
            </w:pPr>
            <w:r>
              <w:rPr>
                <w:sz w:val="16"/>
              </w:rPr>
              <w:t>{"test_case_file": "HARDENED_TEST_CASES_V9.json", "direct_ssi_oracles": 19, "exact_source_ready": 15, "blocked_or_probable": 4, "comparison_key": "Unique ID", "exact_fields": ["Task Name", "Start", "Finish", "Driving Slack", "Trace Log Value"], "ordered_field": "driving path sequence when exported as an ordered trace"}</w:t>
            </w:r>
          </w:p>
        </w:tc>
        <w:tc>
          <w:tcPr>
            <w:tcW w:type="dxa" w:w="1872"/>
            <w:vAlign w:val="top"/>
          </w:tcPr>
          <w:p>
            <w:pPr>
              <w:spacing w:after="0"/>
            </w:pPr>
            <w:r>
              <w:rPr>
                <w:sz w:val="16"/>
              </w:rPr>
              <w:t>uploaded project-library SSI workbooks</w:t>
            </w:r>
          </w:p>
        </w:tc>
      </w:tr>
    </w:tbl>
    <w:p/>
    <w:p>
      <w:pPr>
        <w:pStyle w:val="Heading1"/>
      </w:pPr>
      <w:r>
        <w:t>Execution runbook</w:t>
      </w:r>
    </w:p>
    <w:tbl>
      <w:tblPr>
        <w:tblStyle w:val="TableGrid"/>
        <w:tblW w:type="auto" w:w="0"/>
        <w:jc w:val="center"/>
        <w:tblLook w:firstColumn="1" w:firstRow="1" w:lastColumn="0" w:lastRow="0" w:noHBand="0" w:noVBand="1" w:val="04A0"/>
      </w:tblPr>
      <w:tblGrid>
        <w:gridCol w:w="5184"/>
        <w:gridCol w:w="5184"/>
      </w:tblGrid>
      <w:tr>
        <w:trPr>
          <w:tblHeader w:val="true"/>
          <w:cantSplit w:val="true"/>
        </w:trPr>
        <w:tc>
          <w:tcPr>
            <w:tcW w:type="dxa" w:w="864"/>
            <w:shd w:fill="44546A"/>
          </w:tcPr>
          <w:p>
            <w:r>
              <w:rPr>
                <w:b/>
                <w:color w:val="FFFFFF"/>
                <w:sz w:val="16"/>
              </w:rPr>
              <w:t>Step</w:t>
            </w:r>
          </w:p>
        </w:tc>
        <w:tc>
          <w:tcPr>
            <w:tcW w:type="dxa" w:w="9360"/>
            <w:shd w:fill="44546A"/>
          </w:tcPr>
          <w:p>
            <w:r>
              <w:rPr>
                <w:b/>
                <w:color w:val="FFFFFF"/>
                <w:sz w:val="16"/>
              </w:rPr>
              <w:t>Action</w:t>
            </w:r>
          </w:p>
        </w:tc>
      </w:tr>
      <w:tr>
        <w:trPr>
          <w:cantSplit w:val="true"/>
        </w:trPr>
        <w:tc>
          <w:tcPr>
            <w:tcW w:type="dxa" w:w="864"/>
            <w:vAlign w:val="top"/>
          </w:tcPr>
          <w:p>
            <w:pPr>
              <w:spacing w:after="0"/>
            </w:pPr>
            <w:r>
              <w:rPr>
                <w:sz w:val="16"/>
              </w:rPr>
              <w:t>1</w:t>
            </w:r>
          </w:p>
        </w:tc>
        <w:tc>
          <w:tcPr>
            <w:tcW w:type="dxa" w:w="9360"/>
            <w:vAlign w:val="top"/>
          </w:tcPr>
          <w:p>
            <w:pPr>
              <w:spacing w:after="0"/>
            </w:pPr>
            <w:r>
              <w:rPr>
                <w:sz w:val="16"/>
              </w:rPr>
              <w:t>Place the V9 manifest/test cases, predictive matrix and scripts in the current checkout.</w:t>
            </w:r>
          </w:p>
        </w:tc>
      </w:tr>
      <w:tr>
        <w:trPr>
          <w:cantSplit w:val="true"/>
        </w:trPr>
        <w:tc>
          <w:tcPr>
            <w:tcW w:type="dxa" w:w="864"/>
            <w:vAlign w:val="top"/>
          </w:tcPr>
          <w:p>
            <w:pPr>
              <w:spacing w:after="0"/>
            </w:pPr>
            <w:r>
              <w:rPr>
                <w:sz w:val="16"/>
              </w:rPr>
              <w:t>2</w:t>
            </w:r>
          </w:p>
        </w:tc>
        <w:tc>
          <w:tcPr>
            <w:tcW w:type="dxa" w:w="9360"/>
            <w:vAlign w:val="top"/>
          </w:tcPr>
          <w:p>
            <w:pPr>
              <w:spacing w:after="0"/>
            </w:pPr>
            <w:r>
              <w:rPr>
                <w:sz w:val="16"/>
              </w:rPr>
              <w:t>Run: python repo_hardened_audit.py --repo . --manifest HARDENED_MASTER_MANIFEST_V9.json --run-gates</w:t>
            </w:r>
          </w:p>
        </w:tc>
      </w:tr>
      <w:tr>
        <w:trPr>
          <w:cantSplit w:val="true"/>
        </w:trPr>
        <w:tc>
          <w:tcPr>
            <w:tcW w:type="dxa" w:w="864"/>
            <w:vAlign w:val="top"/>
          </w:tcPr>
          <w:p>
            <w:pPr>
              <w:spacing w:after="0"/>
            </w:pPr>
            <w:r>
              <w:rPr>
                <w:sz w:val="16"/>
              </w:rPr>
              <w:t>3</w:t>
            </w:r>
          </w:p>
        </w:tc>
        <w:tc>
          <w:tcPr>
            <w:tcW w:type="dxa" w:w="9360"/>
            <w:vAlign w:val="top"/>
          </w:tcPr>
          <w:p>
            <w:pPr>
              <w:spacing w:after="0"/>
            </w:pPr>
            <w:r>
              <w:rPr>
                <w:sz w:val="16"/>
              </w:rPr>
              <w:t>Resolve every parse, stale-reference, manifest or gate failure. No waivers.</w:t>
            </w:r>
          </w:p>
        </w:tc>
      </w:tr>
      <w:tr>
        <w:trPr>
          <w:cantSplit w:val="true"/>
        </w:trPr>
        <w:tc>
          <w:tcPr>
            <w:tcW w:type="dxa" w:w="864"/>
            <w:vAlign w:val="top"/>
          </w:tcPr>
          <w:p>
            <w:pPr>
              <w:spacing w:after="0"/>
            </w:pPr>
            <w:r>
              <w:rPr>
                <w:sz w:val="16"/>
              </w:rPr>
              <w:t>4</w:t>
            </w:r>
          </w:p>
        </w:tc>
        <w:tc>
          <w:tcPr>
            <w:tcW w:type="dxa" w:w="9360"/>
            <w:vAlign w:val="top"/>
          </w:tcPr>
          <w:p>
            <w:pPr>
              <w:spacing w:after="0"/>
            </w:pPr>
            <w:r>
              <w:rPr>
                <w:sz w:val="16"/>
              </w:rPr>
              <w:t>Run: python oracle_matrix_runner.py validate; then oracle_matrix_runner.py list</w:t>
            </w:r>
          </w:p>
        </w:tc>
      </w:tr>
      <w:tr>
        <w:trPr>
          <w:cantSplit w:val="true"/>
        </w:trPr>
        <w:tc>
          <w:tcPr>
            <w:tcW w:type="dxa" w:w="864"/>
            <w:vAlign w:val="top"/>
          </w:tcPr>
          <w:p>
            <w:pPr>
              <w:spacing w:after="0"/>
            </w:pPr>
            <w:r>
              <w:rPr>
                <w:sz w:val="16"/>
              </w:rPr>
              <w:t>5</w:t>
            </w:r>
          </w:p>
        </w:tc>
        <w:tc>
          <w:tcPr>
            <w:tcW w:type="dxa" w:w="9360"/>
            <w:vAlign w:val="top"/>
          </w:tcPr>
          <w:p>
            <w:pPr>
              <w:spacing w:after="0"/>
            </w:pPr>
            <w:r>
              <w:rPr>
                <w:sz w:val="16"/>
              </w:rPr>
              <w:t>Export canonical program JSON per schedule and compare with oracle_matrix_runner.py compare --strict-provenance.</w:t>
            </w:r>
          </w:p>
        </w:tc>
      </w:tr>
      <w:tr>
        <w:trPr>
          <w:cantSplit w:val="true"/>
        </w:trPr>
        <w:tc>
          <w:tcPr>
            <w:tcW w:type="dxa" w:w="864"/>
            <w:vAlign w:val="top"/>
          </w:tcPr>
          <w:p>
            <w:pPr>
              <w:spacing w:after="0"/>
            </w:pPr>
            <w:r>
              <w:rPr>
                <w:sz w:val="16"/>
              </w:rPr>
              <w:t>6</w:t>
            </w:r>
          </w:p>
        </w:tc>
        <w:tc>
          <w:tcPr>
            <w:tcW w:type="dxa" w:w="9360"/>
            <w:vAlign w:val="top"/>
          </w:tcPr>
          <w:p>
            <w:pPr>
              <w:spacing w:after="0"/>
            </w:pPr>
            <w:r>
              <w:rPr>
                <w:sz w:val="16"/>
              </w:rPr>
              <w:t>Export canonical SSI rows and compare with oracle_matrix_runner.py compare-ssi (source SHA required; use --ordered when order is an oracle field).</w:t>
            </w:r>
          </w:p>
        </w:tc>
      </w:tr>
      <w:tr>
        <w:trPr>
          <w:cantSplit w:val="true"/>
        </w:trPr>
        <w:tc>
          <w:tcPr>
            <w:tcW w:type="dxa" w:w="864"/>
            <w:vAlign w:val="top"/>
          </w:tcPr>
          <w:p>
            <w:pPr>
              <w:spacing w:after="0"/>
            </w:pPr>
            <w:r>
              <w:rPr>
                <w:sz w:val="16"/>
              </w:rPr>
              <w:t>7</w:t>
            </w:r>
          </w:p>
        </w:tc>
        <w:tc>
          <w:tcPr>
            <w:tcW w:type="dxa" w:w="9360"/>
            <w:vAlign w:val="top"/>
          </w:tcPr>
          <w:p>
            <w:pPr>
              <w:spacing w:after="0"/>
            </w:pPr>
            <w:r>
              <w:rPr>
                <w:sz w:val="16"/>
              </w:rPr>
              <w:t>Store source/oracle hashes, commit, tool versions, AFT/AFW/SSI settings, dates, calendars and tolerances.</w:t>
            </w:r>
          </w:p>
        </w:tc>
      </w:tr>
      <w:tr>
        <w:trPr>
          <w:cantSplit w:val="true"/>
        </w:trPr>
        <w:tc>
          <w:tcPr>
            <w:tcW w:type="dxa" w:w="864"/>
            <w:vAlign w:val="top"/>
          </w:tcPr>
          <w:p>
            <w:pPr>
              <w:spacing w:after="0"/>
            </w:pPr>
            <w:r>
              <w:rPr>
                <w:sz w:val="16"/>
              </w:rPr>
              <w:t>8</w:t>
            </w:r>
          </w:p>
        </w:tc>
        <w:tc>
          <w:tcPr>
            <w:tcW w:type="dxa" w:w="9360"/>
            <w:vAlign w:val="top"/>
          </w:tcPr>
          <w:p>
            <w:pPr>
              <w:spacing w:after="0"/>
            </w:pPr>
            <w:r>
              <w:rPr>
                <w:sz w:val="16"/>
              </w:rPr>
              <w:t>Promote only readiness-green cases to exact parity.</w:t>
            </w:r>
          </w:p>
        </w:tc>
      </w:tr>
    </w:tbl>
    <w:p/>
    <w:p>
      <w:pPr>
        <w:pStyle w:val="Heading1"/>
      </w:pPr>
      <w:r>
        <w:t>Required assets and unresolved gates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1152"/>
            <w:shd w:fill="44546A"/>
          </w:tcPr>
          <w:p>
            <w:r>
              <w:rPr>
                <w:b/>
                <w:color w:val="FFFFFF"/>
                <w:sz w:val="16"/>
              </w:rPr>
              <w:t>Severity</w:t>
            </w:r>
          </w:p>
        </w:tc>
        <w:tc>
          <w:tcPr>
            <w:tcW w:type="dxa" w:w="4320"/>
            <w:shd w:fill="44546A"/>
          </w:tcPr>
          <w:p>
            <w:r>
              <w:rPr>
                <w:b/>
                <w:color w:val="FFFFFF"/>
                <w:sz w:val="16"/>
              </w:rPr>
              <w:t>Gap</w:t>
            </w:r>
          </w:p>
        </w:tc>
        <w:tc>
          <w:tcPr>
            <w:tcW w:type="dxa" w:w="4752"/>
            <w:shd w:fill="44546A"/>
          </w:tcPr>
          <w:p>
            <w:r>
              <w:rPr>
                <w:b/>
                <w:color w:val="FFFFFF"/>
                <w:sz w:val="16"/>
              </w:rPr>
              <w:t>Required action</w:t>
            </w:r>
          </w:p>
        </w:tc>
      </w:tr>
      <w:tr>
        <w:trPr>
          <w:cantSplit w:val="true"/>
        </w:trPr>
        <w:tc>
          <w:tcPr>
            <w:tcW w:type="dxa" w:w="1152"/>
            <w:vAlign w:val="top"/>
          </w:tcPr>
          <w:p>
            <w:pPr>
              <w:spacing w:after="0"/>
            </w:pPr>
            <w:r>
              <w:rPr>
                <w:sz w:val="16"/>
              </w:rPr>
              <w:t>BLOCKER</w:t>
            </w:r>
          </w:p>
        </w:tc>
        <w:tc>
          <w:tcPr>
            <w:tcW w:type="dxa" w:w="4320"/>
            <w:vAlign w:val="top"/>
          </w:tcPr>
          <w:p>
            <w:pPr>
              <w:spacing w:after="0"/>
            </w:pPr>
            <w:r>
              <w:rPr>
                <w:sz w:val="16"/>
              </w:rPr>
              <w:t>Four SSI reports do not have an exact dated source MPP snapshot.</w:t>
            </w:r>
          </w:p>
        </w:tc>
        <w:tc>
          <w:tcPr>
            <w:tcW w:type="dxa" w:w="4752"/>
            <w:vAlign w:val="top"/>
          </w:tcPr>
          <w:p>
            <w:pPr>
              <w:spacing w:after="0"/>
            </w:pPr>
            <w:r>
              <w:rPr>
                <w:sz w:val="16"/>
              </w:rPr>
              <w:t>Original/progress UID4 source snapshots and the exact two UID152 dependent-analysis snapshots, or regenerated SSI exports from retained source files with settings captured.</w:t>
            </w:r>
          </w:p>
        </w:tc>
      </w:tr>
      <w:tr>
        <w:trPr>
          <w:cantSplit w:val="true"/>
        </w:trPr>
        <w:tc>
          <w:tcPr>
            <w:tcW w:type="dxa" w:w="1152"/>
            <w:vAlign w:val="top"/>
          </w:tcPr>
          <w:p>
            <w:pPr>
              <w:spacing w:after="0"/>
            </w:pPr>
            <w:r>
              <w:rPr>
                <w:sz w:val="16"/>
              </w:rPr>
              <w:t>BLOCKER</w:t>
            </w:r>
          </w:p>
        </w:tc>
        <w:tc>
          <w:tcPr>
            <w:tcW w:type="dxa" w:w="4320"/>
            <w:vAlign w:val="top"/>
          </w:tcPr>
          <w:p>
            <w:pPr>
              <w:spacing w:after="0"/>
            </w:pPr>
            <w:r>
              <w:rPr>
                <w:sz w:val="16"/>
              </w:rPr>
              <w:t>Current Hard_File_updated4 24-hour binary cannot be semantically compared with archived updated3 24-hour payload.</w:t>
            </w:r>
          </w:p>
        </w:tc>
        <w:tc>
          <w:tcPr>
            <w:tcW w:type="dxa" w:w="4752"/>
            <w:vAlign w:val="top"/>
          </w:tcPr>
          <w:p>
            <w:pPr>
              <w:spacing w:after="0"/>
            </w:pPr>
            <w:r>
              <w:rPr>
                <w:sz w:val="16"/>
              </w:rPr>
              <w:t>Download/checkout current MPP and run semantic fingerprint comparison through the same MPXJ version.</w:t>
            </w:r>
          </w:p>
        </w:tc>
      </w:tr>
      <w:tr>
        <w:trPr>
          <w:cantSplit w:val="true"/>
        </w:trPr>
        <w:tc>
          <w:tcPr>
            <w:tcW w:type="dxa" w:w="1152"/>
            <w:vAlign w:val="top"/>
          </w:tcPr>
          <w:p>
            <w:pPr>
              <w:spacing w:after="0"/>
            </w:pPr>
            <w:r>
              <w:rPr>
                <w:sz w:val="16"/>
              </w:rPr>
              <w:t>BLOCKER</w:t>
            </w:r>
          </w:p>
        </w:tc>
        <w:tc>
          <w:tcPr>
            <w:tcW w:type="dxa" w:w="4320"/>
            <w:vAlign w:val="top"/>
          </w:tcPr>
          <w:p>
            <w:pPr>
              <w:spacing w:after="0"/>
            </w:pPr>
            <w:r>
              <w:rPr>
                <w:sz w:val="16"/>
              </w:rPr>
              <w:t>Current repository reference-upload head was not locally executed.</w:t>
            </w:r>
          </w:p>
        </w:tc>
        <w:tc>
          <w:tcPr>
            <w:tcW w:type="dxa" w:w="4752"/>
            <w:vAlign w:val="top"/>
          </w:tcPr>
          <w:p>
            <w:pPr>
              <w:spacing w:after="0"/>
            </w:pPr>
            <w:r>
              <w:rPr>
                <w:sz w:val="16"/>
              </w:rPr>
              <w:t>Run repo_hardened_audit.py and the complete quality/parity gate in a current checkout.</w:t>
            </w:r>
          </w:p>
        </w:tc>
      </w:tr>
      <w:tr>
        <w:trPr>
          <w:cantSplit w:val="true"/>
        </w:trPr>
        <w:tc>
          <w:tcPr>
            <w:tcW w:type="dxa" w:w="1152"/>
            <w:vAlign w:val="top"/>
          </w:tcPr>
          <w:p>
            <w:pPr>
              <w:spacing w:after="0"/>
            </w:pPr>
            <w:r>
              <w:rPr>
                <w:sz w:val="16"/>
              </w:rPr>
              <w:t>HIGH</w:t>
            </w:r>
          </w:p>
        </w:tc>
        <w:tc>
          <w:tcPr>
            <w:tcW w:type="dxa" w:w="4320"/>
            <w:vAlign w:val="top"/>
          </w:tcPr>
          <w:p>
            <w:pPr>
              <w:spacing w:after="0"/>
            </w:pPr>
            <w:r>
              <w:rPr>
                <w:sz w:val="16"/>
              </w:rPr>
              <w:t>ref2/2345.afw cannot identify which Project5_TAMPERED binary was loaded.</w:t>
            </w:r>
          </w:p>
        </w:tc>
        <w:tc>
          <w:tcPr>
            <w:tcW w:type="dxa" w:w="4752"/>
            <w:vAlign w:val="top"/>
          </w:tcPr>
          <w:p>
            <w:pPr>
              <w:spacing w:after="0"/>
            </w:pPr>
            <w:r>
              <w:rPr>
                <w:sz w:val="16"/>
              </w:rPr>
              <w:t>Acumen export/workspace manifest containing full source path and SHA-256, or retain one canonical source and regenerate the workspace.</w:t>
            </w:r>
          </w:p>
        </w:tc>
      </w:tr>
      <w:tr>
        <w:trPr>
          <w:cantSplit w:val="true"/>
        </w:trPr>
        <w:tc>
          <w:tcPr>
            <w:tcW w:type="dxa" w:w="1152"/>
            <w:vAlign w:val="top"/>
          </w:tcPr>
          <w:p>
            <w:pPr>
              <w:spacing w:after="0"/>
            </w:pPr>
            <w:r>
              <w:rPr>
                <w:sz w:val="16"/>
              </w:rPr>
              <w:t>HIGH</w:t>
            </w:r>
          </w:p>
        </w:tc>
        <w:tc>
          <w:tcPr>
            <w:tcW w:type="dxa" w:w="4320"/>
            <w:vAlign w:val="top"/>
          </w:tcPr>
          <w:p>
            <w:pPr>
              <w:spacing w:after="0"/>
            </w:pPr>
            <w:r>
              <w:rPr>
                <w:sz w:val="16"/>
              </w:rPr>
              <w:t>No XER files exist in the uploaded project-library archives.</w:t>
            </w:r>
          </w:p>
        </w:tc>
        <w:tc>
          <w:tcPr>
            <w:tcW w:type="dxa" w:w="4752"/>
            <w:vAlign w:val="top"/>
          </w:tcPr>
          <w:p>
            <w:pPr>
              <w:spacing w:after="0"/>
            </w:pPr>
            <w:r>
              <w:rPr>
                <w:sz w:val="16"/>
              </w:rPr>
              <w:t>Non-CUI P6 XER snapshots plus matching Acumen/SSI/P6 oracle exports and calculation/calendar settings.</w:t>
            </w:r>
          </w:p>
        </w:tc>
      </w:tr>
      <w:tr>
        <w:trPr>
          <w:cantSplit w:val="true"/>
        </w:trPr>
        <w:tc>
          <w:tcPr>
            <w:tcW w:type="dxa" w:w="1152"/>
            <w:vAlign w:val="top"/>
          </w:tcPr>
          <w:p>
            <w:pPr>
              <w:spacing w:after="0"/>
            </w:pPr>
            <w:r>
              <w:rPr>
                <w:sz w:val="16"/>
              </w:rPr>
              <w:t>HIGH</w:t>
            </w:r>
          </w:p>
        </w:tc>
        <w:tc>
          <w:tcPr>
            <w:tcW w:type="dxa" w:w="4320"/>
            <w:vAlign w:val="top"/>
          </w:tcPr>
          <w:p>
            <w:pPr>
              <w:spacing w:after="0"/>
            </w:pPr>
            <w:r>
              <w:rPr>
                <w:sz w:val="16"/>
              </w:rPr>
              <w:t>Large Test File OverAl Fixed report name conflicts with exact schedule-date evidence.</w:t>
            </w:r>
          </w:p>
        </w:tc>
        <w:tc>
          <w:tcPr>
            <w:tcW w:type="dxa" w:w="4752"/>
            <w:vAlign w:val="top"/>
          </w:tcPr>
          <w:p>
            <w:pPr>
              <w:spacing w:after="0"/>
            </w:pPr>
            <w:r>
              <w:rPr>
                <w:sz w:val="16"/>
              </w:rPr>
              <w:t>Confirm source provenance or regenerate SSI export with source filename embedded; do not use filename as ground truth.</w:t>
            </w:r>
          </w:p>
        </w:tc>
      </w:tr>
      <w:tr>
        <w:trPr>
          <w:cantSplit w:val="true"/>
        </w:trPr>
        <w:tc>
          <w:tcPr>
            <w:tcW w:type="dxa" w:w="1152"/>
            <w:vAlign w:val="top"/>
          </w:tcPr>
          <w:p>
            <w:pPr>
              <w:spacing w:after="0"/>
            </w:pPr>
            <w:r>
              <w:rPr>
                <w:sz w:val="16"/>
              </w:rPr>
              <w:t>MEDIUM</w:t>
            </w:r>
          </w:p>
        </w:tc>
        <w:tc>
          <w:tcPr>
            <w:tcW w:type="dxa" w:w="4320"/>
            <w:vAlign w:val="top"/>
          </w:tcPr>
          <w:p>
            <w:pPr>
              <w:spacing w:after="0"/>
            </w:pPr>
            <w:r>
              <w:rPr>
                <w:sz w:val="16"/>
              </w:rPr>
              <w:t>Acumen workbooks generally do not embed source SHA-256.</w:t>
            </w:r>
          </w:p>
        </w:tc>
        <w:tc>
          <w:tcPr>
            <w:tcW w:type="dxa" w:w="4752"/>
            <w:vAlign w:val="top"/>
          </w:tcPr>
          <w:p>
            <w:pPr>
              <w:spacing w:after="0"/>
            </w:pPr>
            <w:r>
              <w:rPr>
                <w:sz w:val="16"/>
              </w:rPr>
              <w:t>Add a Source Manifest sheet/sidecar with schedule hash, report hash, tool version, metric-library hash, settings, status date, timezone, and export time.</w:t>
            </w:r>
          </w:p>
        </w:tc>
      </w:tr>
      <w:tr>
        <w:trPr>
          <w:cantSplit w:val="true"/>
        </w:trPr>
        <w:tc>
          <w:tcPr>
            <w:tcW w:type="dxa" w:w="1152"/>
            <w:vAlign w:val="top"/>
          </w:tcPr>
          <w:p>
            <w:pPr>
              <w:spacing w:after="0"/>
            </w:pPr>
            <w:r>
              <w:rPr>
                <w:sz w:val="16"/>
              </w:rPr>
              <w:t>MEDIUM</w:t>
            </w:r>
          </w:p>
        </w:tc>
        <w:tc>
          <w:tcPr>
            <w:tcW w:type="dxa" w:w="4320"/>
            <w:vAlign w:val="top"/>
          </w:tcPr>
          <w:p>
            <w:pPr>
              <w:spacing w:after="0"/>
            </w:pPr>
            <w:r>
              <w:rPr>
                <w:sz w:val="16"/>
              </w:rPr>
              <w:t>Stochastic SSI/Acumen SRA cannot be guaranteed bit-exact without vendor RNG details.</w:t>
            </w:r>
          </w:p>
        </w:tc>
        <w:tc>
          <w:tcPr>
            <w:tcW w:type="dxa" w:w="4752"/>
            <w:vAlign w:val="top"/>
          </w:tcPr>
          <w:p>
            <w:pPr>
              <w:spacing w:after="0"/>
            </w:pPr>
            <w:r>
              <w:rPr>
                <w:sz w:val="16"/>
              </w:rPr>
              <w:t>Capture seed, trials, distribution, correlation, risk mapping, calendar, focus event, and vendor version; use statistical rather than byte-exact distribution acceptance.</w:t>
            </w:r>
          </w:p>
        </w:tc>
      </w:tr>
    </w:tbl>
    <w:p/>
    <w:p>
      <w:pPr>
        <w:pStyle w:val="Heading1"/>
      </w:pPr>
      <w:r>
        <w:t>Deliverables</w:t>
      </w:r>
    </w:p>
    <w:p>
      <w:pPr>
        <w:pStyle w:val="ListBullet"/>
      </w:pPr>
      <w:r>
        <w:t>HARDENED_CORPUS_CROSS_REFERENCE.xlsx</w:t>
      </w:r>
    </w:p>
    <w:p>
      <w:pPr>
        <w:pStyle w:val="ListBullet"/>
      </w:pPr>
      <w:r>
        <w:t>HARDENED_MASTER_MANIFEST_V9.json</w:t>
      </w:r>
    </w:p>
    <w:p>
      <w:pPr>
        <w:pStyle w:val="ListBullet"/>
      </w:pPr>
      <w:r>
        <w:t>HARDENED_ASSOCIATIONS_V5.csv</w:t>
      </w:r>
    </w:p>
    <w:p>
      <w:pPr>
        <w:pStyle w:val="ListBullet"/>
      </w:pPr>
      <w:r>
        <w:t>HARDENED_TEST_CASES_V9.json</w:t>
      </w:r>
    </w:p>
    <w:p>
      <w:pPr>
        <w:pStyle w:val="ListBullet"/>
      </w:pPr>
      <w:r>
        <w:t>PREDICTIVE_ORACLE_MATRIX.json</w:t>
      </w:r>
    </w:p>
    <w:p>
      <w:pPr>
        <w:pStyle w:val="ListBullet"/>
      </w:pPr>
      <w:r>
        <w:t>oracle_matrix_runner.py</w:t>
      </w:r>
    </w:p>
    <w:p>
      <w:pPr>
        <w:pStyle w:val="ListBullet"/>
      </w:pPr>
      <w:r>
        <w:t>repo_hardened_audit.py</w:t>
      </w:r>
    </w:p>
    <w:p>
      <w:pPr>
        <w:pStyle w:val="ListBullet"/>
      </w:pPr>
      <w:r>
        <w:t>verify_hardened_v9.py</w:t>
      </w:r>
    </w:p>
    <w:p>
      <w:pPr>
        <w:pStyle w:val="ListBullet"/>
      </w:pPr>
      <w:r>
        <w:t>HARDENED_VERIFICATION_RESULT_V9.json</w:t>
      </w:r>
    </w:p>
    <w:p>
      <w:pPr>
        <w:pStyle w:val="Heading1"/>
      </w:pPr>
      <w:r>
        <w:t>Traceability</w:t>
      </w:r>
    </w:p>
    <w:p>
      <w:pPr>
        <w:pStyle w:val="ListBullet"/>
      </w:pPr>
      <w:r>
        <w:t>Repository: polittdj/Schedule-Manipulation-Analysis-Tool-Experiment.</w:t>
      </w:r>
    </w:p>
    <w:p>
      <w:pPr>
        <w:pStyle w:val="ListBullet"/>
      </w:pPr>
      <w:r>
        <w:t>Current head reviewed: dcacbf4458f2049aeec01be345b32d1685dae27c.</w:t>
      </w:r>
    </w:p>
    <w:p>
      <w:pPr>
        <w:pStyle w:val="ListBullet"/>
      </w:pPr>
      <w:r>
        <w:t>Last documented green code head: 2dc369678dfc294db189d1bc706eba4ab02b752a.</w:t>
      </w:r>
    </w:p>
    <w:p>
      <w:pPr>
        <w:pStyle w:val="ListBullet"/>
      </w:pPr>
      <w:r>
        <w:t>Key repository evidence: HANDOFF, REPO-INVENTORY, pyproject, CI workflow, parity tests, formula audit and golden case files.</w:t>
      </w:r>
    </w:p>
    <w:p>
      <w:pPr>
        <w:pStyle w:val="ListBullet"/>
      </w:pPr>
      <w:r>
        <w:t>Project library: Reference Files.zip and Reference Files 2(1).zip, recursively extracted and independently reverified.</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Hardened Oracle Protocol - V9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6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