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22"/>
          <w:lang w:val="en-AU"/>
        </w:rPr>
      </w:pPr>
      <w:r>
        <w:rPr>
          <w:b/>
          <w:sz w:val="32"/>
          <w:szCs w:val="22"/>
          <w:lang w:val="en-AU"/>
        </w:rPr>
        <w:t xml:space="preserve"> </w:t>
      </w:r>
      <w:r>
        <w:rPr/>
        <w:drawing>
          <wp:inline distT="0" distB="0" distL="0" distR="0">
            <wp:extent cx="1695450" cy="112395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695450" cy="1123950"/>
                    </a:xfrm>
                    <a:prstGeom prst="rect">
                      <a:avLst/>
                    </a:prstGeom>
                  </pic:spPr>
                </pic:pic>
              </a:graphicData>
            </a:graphic>
          </wp:inline>
        </w:drawing>
      </w:r>
    </w:p>
    <w:p>
      <w:pPr>
        <w:pStyle w:val="Normal"/>
        <w:jc w:val="center"/>
        <w:rPr>
          <w:b/>
          <w:b/>
          <w:sz w:val="32"/>
          <w:szCs w:val="22"/>
          <w:lang w:val="en-AU"/>
        </w:rPr>
      </w:pPr>
      <w:r>
        <w:rPr>
          <w:b/>
          <w:sz w:val="32"/>
          <w:szCs w:val="22"/>
          <w:lang w:val="en-AU"/>
        </w:rPr>
      </w:r>
    </w:p>
    <w:p>
      <w:pPr>
        <w:pStyle w:val="Normal"/>
        <w:jc w:val="center"/>
        <w:rPr>
          <w:b/>
          <w:b/>
          <w:sz w:val="36"/>
          <w:szCs w:val="22"/>
          <w:lang w:val="en-AU"/>
        </w:rPr>
      </w:pPr>
      <w:r>
        <w:rPr>
          <w:b/>
          <w:sz w:val="36"/>
          <w:szCs w:val="22"/>
          <w:lang w:val="en-AU"/>
        </w:rPr>
        <w:t>National Notifiable Diseases Surveillance System</w:t>
      </w:r>
    </w:p>
    <w:p>
      <w:pPr>
        <w:pStyle w:val="Normal"/>
        <w:jc w:val="center"/>
        <w:rPr>
          <w:b/>
          <w:b/>
          <w:sz w:val="36"/>
          <w:szCs w:val="22"/>
          <w:lang w:val="en-AU"/>
        </w:rPr>
      </w:pPr>
      <w:r>
        <w:rPr>
          <w:b/>
          <w:sz w:val="36"/>
          <w:szCs w:val="22"/>
          <w:lang w:val="en-AU"/>
        </w:rPr>
      </w:r>
    </w:p>
    <w:p>
      <w:pPr>
        <w:pStyle w:val="Normal"/>
        <w:jc w:val="center"/>
        <w:rPr>
          <w:b/>
          <w:b/>
          <w:sz w:val="36"/>
          <w:szCs w:val="36"/>
          <w:lang w:val="en-AU"/>
        </w:rPr>
      </w:pPr>
      <w:r>
        <w:rPr>
          <w:b/>
          <w:sz w:val="36"/>
          <w:szCs w:val="36"/>
          <w:lang w:val="en-AU"/>
        </w:rPr>
        <w:t xml:space="preserve">Influenza (laboratory confirmed) Public Data Set </w:t>
      </w:r>
    </w:p>
    <w:p>
      <w:pPr>
        <w:pStyle w:val="Normal"/>
        <w:jc w:val="center"/>
        <w:rPr>
          <w:b/>
          <w:b/>
          <w:sz w:val="40"/>
          <w:szCs w:val="36"/>
          <w:lang w:val="en-AU"/>
        </w:rPr>
      </w:pPr>
      <w:r>
        <w:rPr>
          <w:b/>
          <w:sz w:val="40"/>
          <w:szCs w:val="36"/>
          <w:lang w:val="en-AU"/>
        </w:rPr>
        <w:t>2008 to 2017</w:t>
      </w:r>
    </w:p>
    <w:p>
      <w:pPr>
        <w:pStyle w:val="Normal"/>
        <w:pBdr>
          <w:bottom w:val="single" w:sz="4" w:space="1" w:color="000000"/>
        </w:pBdr>
        <w:jc w:val="center"/>
        <w:rPr>
          <w:b/>
          <w:b/>
          <w:sz w:val="24"/>
          <w:lang w:val="en-AU"/>
        </w:rPr>
      </w:pPr>
      <w:r>
        <w:rPr>
          <w:b/>
          <w:sz w:val="24"/>
          <w:lang w:val="en-AU"/>
        </w:rPr>
      </w:r>
    </w:p>
    <w:p>
      <w:pPr>
        <w:pStyle w:val="Sumario1"/>
        <w:tabs>
          <w:tab w:val="clear" w:pos="720"/>
          <w:tab w:val="right" w:pos="9683" w:leader="dot"/>
        </w:tabs>
        <w:rPr>
          <w:rFonts w:ascii="Calibri" w:hAnsi="Calibri" w:asciiTheme="minorHAnsi" w:hAnsiTheme="minorHAnsi"/>
          <w:caps w:val="false"/>
          <w:smallCaps w:val="false"/>
          <w:sz w:val="24"/>
          <w:lang w:val="en-AU"/>
        </w:rPr>
      </w:pPr>
      <w:r>
        <w:rPr>
          <w:rFonts w:asciiTheme="minorHAnsi" w:hAnsiTheme="minorHAnsi"/>
          <w:caps w:val="false"/>
          <w:smallCaps w:val="false"/>
          <w:sz w:val="24"/>
          <w:lang w:val="en-AU"/>
        </w:rPr>
      </w:r>
    </w:p>
    <w:sdt>
      <w:sdtPr>
        <w:docPartObj>
          <w:docPartGallery w:val="Table of Contents"/>
          <w:docPartUnique w:val="true"/>
        </w:docPartObj>
      </w:sdtPr>
      <w:sdtContent>
        <w:p>
          <w:pPr>
            <w:pStyle w:val="Sumario1"/>
            <w:tabs>
              <w:tab w:val="clear" w:pos="720"/>
              <w:tab w:val="right" w:pos="9683" w:leader="dot"/>
            </w:tabs>
            <w:rPr>
              <w:rFonts w:ascii="Calibri" w:hAnsi="Calibri" w:eastAsia="" w:cs="" w:asciiTheme="minorHAnsi" w:cstheme="minorBidi" w:eastAsiaTheme="minorEastAsia" w:hAnsiTheme="minorHAnsi"/>
              <w:caps w:val="false"/>
              <w:smallCaps w:val="false"/>
              <w:szCs w:val="22"/>
              <w:lang w:val="en-AU" w:eastAsia="en-AU"/>
            </w:rPr>
          </w:pPr>
          <w:r>
            <w:fldChar w:fldCharType="begin"/>
          </w:r>
          <w:r>
            <w:rPr>
              <w:webHidden/>
              <w:rStyle w:val="Enlacedelndice"/>
            </w:rPr>
            <w:instrText> TOC \z \o "1-3" \u \h</w:instrText>
          </w:r>
          <w:r>
            <w:rPr>
              <w:webHidden/>
              <w:rStyle w:val="Enlacedelndice"/>
            </w:rPr>
            <w:fldChar w:fldCharType="separate"/>
          </w:r>
          <w:hyperlink w:anchor="_Toc523980339">
            <w:r>
              <w:rPr>
                <w:webHidden/>
                <w:rStyle w:val="Enlacedelndice"/>
              </w:rPr>
              <w:t>INTRODUCTION</w:t>
            </w:r>
            <w:r>
              <w:rPr>
                <w:webHidden/>
              </w:rPr>
              <w:fldChar w:fldCharType="begin"/>
            </w:r>
            <w:r>
              <w:rPr>
                <w:webHidden/>
              </w:rPr>
              <w:instrText>PAGEREF _Toc523980339 \h</w:instrText>
            </w:r>
            <w:r>
              <w:rPr>
                <w:webHidden/>
              </w:rPr>
              <w:fldChar w:fldCharType="separate"/>
            </w:r>
            <w:r>
              <w:rPr>
                <w:rStyle w:val="Enlacedelndice"/>
                <w:vanish w:val="false"/>
              </w:rPr>
              <w:tab/>
              <w:t>2</w:t>
            </w:r>
            <w:r>
              <w:rPr>
                <w:webHidden/>
              </w:rPr>
              <w:fldChar w:fldCharType="end"/>
            </w:r>
          </w:hyperlink>
        </w:p>
        <w:p>
          <w:pPr>
            <w:pStyle w:val="Sumario1"/>
            <w:tabs>
              <w:tab w:val="clear" w:pos="720"/>
              <w:tab w:val="right" w:pos="9683" w:leader="dot"/>
            </w:tabs>
            <w:rPr>
              <w:rFonts w:ascii="Calibri" w:hAnsi="Calibri" w:eastAsia="" w:cs="" w:asciiTheme="minorHAnsi" w:cstheme="minorBidi" w:eastAsiaTheme="minorEastAsia" w:hAnsiTheme="minorHAnsi"/>
              <w:caps w:val="false"/>
              <w:smallCaps w:val="false"/>
              <w:szCs w:val="22"/>
              <w:lang w:val="en-AU" w:eastAsia="en-AU"/>
            </w:rPr>
          </w:pPr>
          <w:hyperlink w:anchor="_Toc523980340">
            <w:r>
              <w:rPr>
                <w:webHidden/>
                <w:rStyle w:val="Enlacedelndice"/>
              </w:rPr>
              <w:t>DATA CAVEATS AND INTERPRETATION</w:t>
            </w:r>
            <w:r>
              <w:rPr>
                <w:webHidden/>
              </w:rPr>
              <w:fldChar w:fldCharType="begin"/>
            </w:r>
            <w:r>
              <w:rPr>
                <w:webHidden/>
              </w:rPr>
              <w:instrText>PAGEREF _Toc523980340 \h</w:instrText>
            </w:r>
            <w:r>
              <w:rPr>
                <w:webHidden/>
              </w:rPr>
              <w:fldChar w:fldCharType="separate"/>
            </w:r>
            <w:r>
              <w:rPr>
                <w:rStyle w:val="Enlacedelndice"/>
                <w:vanish w:val="false"/>
              </w:rPr>
              <w:tab/>
              <w:t>2</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41">
            <w:r>
              <w:rPr>
                <w:webHidden/>
                <w:rStyle w:val="Enlacedelndice"/>
                <w:lang w:val="en-AU"/>
              </w:rPr>
              <w:t>General</w:t>
            </w:r>
            <w:r>
              <w:rPr>
                <w:webHidden/>
              </w:rPr>
              <w:fldChar w:fldCharType="begin"/>
            </w:r>
            <w:r>
              <w:rPr>
                <w:webHidden/>
              </w:rPr>
              <w:instrText>PAGEREF _Toc523980341 \h</w:instrText>
            </w:r>
            <w:r>
              <w:rPr>
                <w:webHidden/>
              </w:rPr>
              <w:fldChar w:fldCharType="separate"/>
            </w:r>
            <w:r>
              <w:rPr>
                <w:rStyle w:val="Enlacedelndice"/>
                <w:vanish w:val="false"/>
              </w:rPr>
              <w:tab/>
              <w:t>2</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42">
            <w:r>
              <w:rPr>
                <w:webHidden/>
                <w:rStyle w:val="Enlacedelndice"/>
                <w:lang w:val="en-AU"/>
              </w:rPr>
              <w:t>Cross</w:t>
              <w:noBreakHyphen/>
              <w:t>border NNDSS Notification Protocol</w:t>
            </w:r>
            <w:r>
              <w:rPr>
                <w:webHidden/>
              </w:rPr>
              <w:fldChar w:fldCharType="begin"/>
            </w:r>
            <w:r>
              <w:rPr>
                <w:webHidden/>
              </w:rPr>
              <w:instrText>PAGEREF _Toc523980342 \h</w:instrText>
            </w:r>
            <w:r>
              <w:rPr>
                <w:webHidden/>
              </w:rPr>
              <w:fldChar w:fldCharType="separate"/>
            </w:r>
            <w:r>
              <w:rPr>
                <w:rStyle w:val="Enlacedelndice"/>
                <w:vanish w:val="false"/>
              </w:rPr>
              <w:tab/>
              <w:t>2</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43">
            <w:r>
              <w:rPr>
                <w:webHidden/>
                <w:rStyle w:val="Enlacedelndice"/>
                <w:lang w:val="en-AU"/>
              </w:rPr>
              <w:t>Case definition and notification to the NNDSS</w:t>
            </w:r>
            <w:r>
              <w:rPr>
                <w:webHidden/>
              </w:rPr>
              <w:fldChar w:fldCharType="begin"/>
            </w:r>
            <w:r>
              <w:rPr>
                <w:webHidden/>
              </w:rPr>
              <w:instrText>PAGEREF _Toc523980343 \h</w:instrText>
            </w:r>
            <w:r>
              <w:rPr>
                <w:webHidden/>
              </w:rPr>
              <w:fldChar w:fldCharType="separate"/>
            </w:r>
            <w:r>
              <w:rPr>
                <w:rStyle w:val="Enlacedelndice"/>
                <w:vanish w:val="false"/>
              </w:rPr>
              <w:tab/>
              <w:t>3</w:t>
            </w:r>
            <w:r>
              <w:rPr>
                <w:webHidden/>
              </w:rPr>
              <w:fldChar w:fldCharType="end"/>
            </w:r>
          </w:hyperlink>
        </w:p>
        <w:p>
          <w:pPr>
            <w:pStyle w:val="Sumario1"/>
            <w:tabs>
              <w:tab w:val="clear" w:pos="720"/>
              <w:tab w:val="right" w:pos="9683" w:leader="dot"/>
            </w:tabs>
            <w:rPr>
              <w:rFonts w:ascii="Calibri" w:hAnsi="Calibri" w:eastAsia="" w:cs="" w:asciiTheme="minorHAnsi" w:cstheme="minorBidi" w:eastAsiaTheme="minorEastAsia" w:hAnsiTheme="minorHAnsi"/>
              <w:caps w:val="false"/>
              <w:smallCaps w:val="false"/>
              <w:szCs w:val="22"/>
              <w:lang w:val="en-AU" w:eastAsia="en-AU"/>
            </w:rPr>
          </w:pPr>
          <w:hyperlink w:anchor="_Toc523980344">
            <w:r>
              <w:rPr>
                <w:webHidden/>
                <w:rStyle w:val="Enlacedelndice"/>
              </w:rPr>
              <w:t>FIELD DEFINITIONS</w:t>
            </w:r>
            <w:r>
              <w:rPr>
                <w:webHidden/>
              </w:rPr>
              <w:fldChar w:fldCharType="begin"/>
            </w:r>
            <w:r>
              <w:rPr>
                <w:webHidden/>
              </w:rPr>
              <w:instrText>PAGEREF _Toc523980344 \h</w:instrText>
            </w:r>
            <w:r>
              <w:rPr>
                <w:webHidden/>
              </w:rPr>
              <w:fldChar w:fldCharType="separate"/>
            </w:r>
            <w:r>
              <w:rPr>
                <w:rStyle w:val="Enlacedelndice"/>
                <w:vanish w:val="false"/>
              </w:rPr>
              <w:tab/>
              <w:t>3</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45">
            <w:r>
              <w:rPr>
                <w:webHidden/>
                <w:rStyle w:val="Enlacedelndice"/>
                <w:lang w:val="en-AU"/>
              </w:rPr>
              <w:t>Week Ending (Friday)</w:t>
            </w:r>
            <w:r>
              <w:rPr>
                <w:webHidden/>
              </w:rPr>
              <w:fldChar w:fldCharType="begin"/>
            </w:r>
            <w:r>
              <w:rPr>
                <w:webHidden/>
              </w:rPr>
              <w:instrText>PAGEREF _Toc523980345 \h</w:instrText>
            </w:r>
            <w:r>
              <w:rPr>
                <w:webHidden/>
              </w:rPr>
              <w:fldChar w:fldCharType="separate"/>
            </w:r>
            <w:r>
              <w:rPr>
                <w:rStyle w:val="Enlacedelndice"/>
                <w:vanish w:val="false"/>
              </w:rPr>
              <w:tab/>
              <w:t>3</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46">
            <w:r>
              <w:rPr>
                <w:webHidden/>
                <w:rStyle w:val="Enlacedelndice"/>
                <w:lang w:val="en-AU"/>
              </w:rPr>
              <w:t>State</w:t>
            </w:r>
            <w:r>
              <w:rPr>
                <w:webHidden/>
              </w:rPr>
              <w:fldChar w:fldCharType="begin"/>
            </w:r>
            <w:r>
              <w:rPr>
                <w:webHidden/>
              </w:rPr>
              <w:instrText>PAGEREF _Toc523980346 \h</w:instrText>
            </w:r>
            <w:r>
              <w:rPr>
                <w:webHidden/>
              </w:rPr>
              <w:fldChar w:fldCharType="separate"/>
            </w:r>
            <w:r>
              <w:rPr>
                <w:rStyle w:val="Enlacedelndice"/>
                <w:vanish w:val="false"/>
              </w:rPr>
              <w:tab/>
              <w:t>3</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47">
            <w:r>
              <w:rPr>
                <w:webHidden/>
                <w:rStyle w:val="Enlacedelndice"/>
              </w:rPr>
              <w:t>Age Group</w:t>
            </w:r>
            <w:r>
              <w:rPr>
                <w:webHidden/>
              </w:rPr>
              <w:fldChar w:fldCharType="begin"/>
            </w:r>
            <w:r>
              <w:rPr>
                <w:webHidden/>
              </w:rPr>
              <w:instrText>PAGEREF _Toc523980347 \h</w:instrText>
            </w:r>
            <w:r>
              <w:rPr>
                <w:webHidden/>
              </w:rPr>
              <w:fldChar w:fldCharType="separate"/>
            </w:r>
            <w:r>
              <w:rPr>
                <w:rStyle w:val="Enlacedelndice"/>
                <w:vanish w:val="false"/>
              </w:rPr>
              <w:tab/>
              <w:t>3</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48">
            <w:r>
              <w:rPr>
                <w:webHidden/>
                <w:rStyle w:val="Enlacedelndice"/>
              </w:rPr>
              <w:t>Sex</w:t>
            </w:r>
            <w:r>
              <w:rPr>
                <w:webHidden/>
              </w:rPr>
              <w:fldChar w:fldCharType="begin"/>
            </w:r>
            <w:r>
              <w:rPr>
                <w:webHidden/>
              </w:rPr>
              <w:instrText>PAGEREF _Toc523980348 \h</w:instrText>
            </w:r>
            <w:r>
              <w:rPr>
                <w:webHidden/>
              </w:rPr>
              <w:fldChar w:fldCharType="separate"/>
            </w:r>
            <w:r>
              <w:rPr>
                <w:rStyle w:val="Enlacedelndice"/>
                <w:vanish w:val="false"/>
              </w:rPr>
              <w:tab/>
              <w:t>4</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49">
            <w:r>
              <w:rPr>
                <w:webHidden/>
                <w:rStyle w:val="Enlacedelndice"/>
              </w:rPr>
              <w:t>Indigenous status</w:t>
            </w:r>
            <w:r>
              <w:rPr>
                <w:webHidden/>
              </w:rPr>
              <w:fldChar w:fldCharType="begin"/>
            </w:r>
            <w:r>
              <w:rPr>
                <w:webHidden/>
              </w:rPr>
              <w:instrText>PAGEREF _Toc523980349 \h</w:instrText>
            </w:r>
            <w:r>
              <w:rPr>
                <w:webHidden/>
              </w:rPr>
              <w:fldChar w:fldCharType="separate"/>
            </w:r>
            <w:r>
              <w:rPr>
                <w:rStyle w:val="Enlacedelndice"/>
                <w:vanish w:val="false"/>
              </w:rPr>
              <w:tab/>
              <w:t>4</w:t>
            </w:r>
            <w:r>
              <w:rPr>
                <w:webHidden/>
              </w:rPr>
              <w:fldChar w:fldCharType="end"/>
            </w:r>
          </w:hyperlink>
        </w:p>
        <w:p>
          <w:pPr>
            <w:pStyle w:val="Sumario2"/>
            <w:tabs>
              <w:tab w:val="clear" w:pos="720"/>
              <w:tab w:val="right" w:pos="9683" w:leader="dot"/>
            </w:tabs>
            <w:rPr>
              <w:rFonts w:ascii="Calibri" w:hAnsi="Calibri" w:eastAsia="" w:cs="" w:asciiTheme="minorHAnsi" w:cstheme="minorBidi" w:eastAsiaTheme="minorEastAsia" w:hAnsiTheme="minorHAnsi"/>
              <w:szCs w:val="22"/>
              <w:lang w:val="en-AU" w:eastAsia="en-AU"/>
            </w:rPr>
          </w:pPr>
          <w:hyperlink w:anchor="_Toc523980350">
            <w:r>
              <w:rPr>
                <w:webHidden/>
                <w:rStyle w:val="Enlacedelndice"/>
                <w:lang w:val="en-AU"/>
              </w:rPr>
              <w:t>Type/Subtype</w:t>
            </w:r>
            <w:r>
              <w:rPr>
                <w:webHidden/>
              </w:rPr>
              <w:fldChar w:fldCharType="begin"/>
            </w:r>
            <w:r>
              <w:rPr>
                <w:webHidden/>
              </w:rPr>
              <w:instrText>PAGEREF _Toc523980350 \h</w:instrText>
            </w:r>
            <w:r>
              <w:rPr>
                <w:webHidden/>
              </w:rPr>
              <w:fldChar w:fldCharType="separate"/>
            </w:r>
            <w:r>
              <w:rPr>
                <w:rStyle w:val="Enlacedelndice"/>
                <w:vanish w:val="false"/>
              </w:rPr>
              <w:tab/>
              <w:t>5</w:t>
            </w:r>
            <w:r>
              <w:rPr>
                <w:webHidden/>
              </w:rPr>
              <w:fldChar w:fldCharType="end"/>
            </w:r>
          </w:hyperlink>
        </w:p>
        <w:p>
          <w:pPr>
            <w:pStyle w:val="Sumario1"/>
            <w:tabs>
              <w:tab w:val="clear" w:pos="720"/>
              <w:tab w:val="right" w:pos="9683" w:leader="dot"/>
            </w:tabs>
            <w:rPr>
              <w:rFonts w:ascii="Calibri" w:hAnsi="Calibri" w:eastAsia="" w:cs="" w:asciiTheme="minorHAnsi" w:cstheme="minorBidi" w:eastAsiaTheme="minorEastAsia" w:hAnsiTheme="minorHAnsi"/>
              <w:caps w:val="false"/>
              <w:smallCaps w:val="false"/>
              <w:szCs w:val="22"/>
              <w:lang w:val="en-AU" w:eastAsia="en-AU"/>
            </w:rPr>
          </w:pPr>
          <w:hyperlink w:anchor="_Toc523980351">
            <w:r>
              <w:rPr>
                <w:webHidden/>
                <w:rStyle w:val="Enlacedelndice"/>
              </w:rPr>
              <w:t>Resources</w:t>
            </w:r>
            <w:r>
              <w:rPr>
                <w:webHidden/>
              </w:rPr>
              <w:fldChar w:fldCharType="begin"/>
            </w:r>
            <w:r>
              <w:rPr>
                <w:webHidden/>
              </w:rPr>
              <w:instrText>PAGEREF _Toc523980351 \h</w:instrText>
            </w:r>
            <w:r>
              <w:rPr>
                <w:webHidden/>
              </w:rPr>
              <w:fldChar w:fldCharType="separate"/>
            </w:r>
            <w:r>
              <w:rPr>
                <w:rStyle w:val="Enlacedelndice"/>
                <w:vanish w:val="false"/>
              </w:rPr>
              <w:tab/>
              <w:t>5</w:t>
            </w:r>
            <w:r>
              <w:rPr>
                <w:webHidden/>
              </w:rPr>
              <w:fldChar w:fldCharType="end"/>
            </w:r>
          </w:hyperlink>
        </w:p>
        <w:p>
          <w:pPr>
            <w:pStyle w:val="Sumario1"/>
            <w:tabs>
              <w:tab w:val="clear" w:pos="720"/>
              <w:tab w:val="right" w:pos="9683" w:leader="dot"/>
            </w:tabs>
            <w:rPr>
              <w:rFonts w:ascii="Calibri" w:hAnsi="Calibri" w:eastAsia="" w:cs="" w:asciiTheme="minorHAnsi" w:cstheme="minorBidi" w:eastAsiaTheme="minorEastAsia" w:hAnsiTheme="minorHAnsi"/>
              <w:caps w:val="false"/>
              <w:smallCaps w:val="false"/>
              <w:szCs w:val="22"/>
              <w:lang w:val="en-AU" w:eastAsia="en-AU"/>
            </w:rPr>
          </w:pPr>
          <w:hyperlink w:anchor="_Toc523980352">
            <w:r>
              <w:rPr>
                <w:webHidden/>
                <w:rStyle w:val="Enlacedelndice"/>
              </w:rPr>
              <w:t>Acknowledgements</w:t>
            </w:r>
            <w:r>
              <w:rPr>
                <w:webHidden/>
              </w:rPr>
              <w:fldChar w:fldCharType="begin"/>
            </w:r>
            <w:r>
              <w:rPr>
                <w:webHidden/>
              </w:rPr>
              <w:instrText>PAGEREF _Toc523980352 \h</w:instrText>
            </w:r>
            <w:r>
              <w:rPr>
                <w:webHidden/>
              </w:rPr>
              <w:fldChar w:fldCharType="separate"/>
            </w:r>
            <w:r>
              <w:rPr>
                <w:rStyle w:val="Enlacedelndice"/>
                <w:vanish w:val="false"/>
              </w:rPr>
              <w:tab/>
              <w:t>5</w:t>
            </w:r>
            <w:r>
              <w:rPr>
                <w:webHidden/>
              </w:rPr>
              <w:fldChar w:fldCharType="end"/>
            </w:r>
          </w:hyperlink>
          <w:r>
            <w:rPr>
              <w:rStyle w:val="Enlacedelndice"/>
              <w:vanish w:val="false"/>
            </w:rPr>
            <w:fldChar w:fldCharType="end"/>
          </w:r>
        </w:p>
      </w:sdtContent>
    </w:sdt>
    <w:p>
      <w:pPr>
        <w:pStyle w:val="Normal"/>
        <w:pBdr>
          <w:bottom w:val="single" w:sz="4" w:space="1" w:color="000000"/>
        </w:pBdr>
        <w:jc w:val="center"/>
        <w:rPr>
          <w:b/>
          <w:b/>
          <w:sz w:val="14"/>
          <w:szCs w:val="36"/>
          <w:lang w:val="en-AU"/>
        </w:rPr>
      </w:pPr>
      <w:r>
        <w:rPr>
          <w:b/>
          <w:sz w:val="14"/>
          <w:szCs w:val="36"/>
          <w:lang w:val="en-AU"/>
        </w:rPr>
      </w:r>
    </w:p>
    <w:p>
      <w:pPr>
        <w:pStyle w:val="Normal"/>
        <w:rPr/>
      </w:pPr>
      <w:r>
        <w:rPr/>
      </w:r>
      <w:r>
        <w:br w:type="page"/>
      </w:r>
    </w:p>
    <w:p>
      <w:pPr>
        <w:pStyle w:val="Ttulo1"/>
        <w:rPr/>
      </w:pPr>
      <w:bookmarkStart w:id="0" w:name="_Toc523980339"/>
      <w:r>
        <w:rPr/>
        <w:t>INTRODUCTION</w:t>
      </w:r>
      <w:bookmarkEnd w:id="0"/>
    </w:p>
    <w:p>
      <w:pPr>
        <w:pStyle w:val="Normal"/>
        <w:numPr>
          <w:ilvl w:val="0"/>
          <w:numId w:val="1"/>
        </w:numPr>
        <w:spacing w:before="0" w:after="120"/>
        <w:rPr>
          <w:szCs w:val="22"/>
          <w:lang w:val="en-AU"/>
        </w:rPr>
      </w:pPr>
      <w:r>
        <w:rPr>
          <w:szCs w:val="22"/>
          <w:lang w:val="en-AU"/>
        </w:rPr>
        <w:t xml:space="preserve">The Influenza Public Data Set includes notification data collected on laboratory confirmed influenza via the National Notifiable Diseases Surveillance System (NNDSS) from </w:t>
      </w:r>
      <w:r>
        <w:rPr>
          <w:szCs w:val="22"/>
          <w:u w:val="single"/>
          <w:lang w:val="en-AU"/>
        </w:rPr>
        <w:t xml:space="preserve">1 January 2008 to </w:t>
        <w:br/>
        <w:t>31 December 2017</w:t>
      </w:r>
      <w:r>
        <w:rPr>
          <w:szCs w:val="22"/>
          <w:lang w:val="en-AU"/>
        </w:rPr>
        <w:t xml:space="preserve">. </w:t>
      </w:r>
    </w:p>
    <w:p>
      <w:pPr>
        <w:pStyle w:val="Normal"/>
        <w:numPr>
          <w:ilvl w:val="0"/>
          <w:numId w:val="1"/>
        </w:numPr>
        <w:spacing w:before="0" w:after="120"/>
        <w:rPr>
          <w:szCs w:val="22"/>
          <w:lang w:val="en-AU"/>
        </w:rPr>
      </w:pPr>
      <w:r>
        <w:rPr>
          <w:szCs w:val="22"/>
          <w:lang w:val="en-AU"/>
        </w:rPr>
        <w:t xml:space="preserve">See Table 1 for a description of the NNDSS data available in the Influenza Public Data Set. </w:t>
      </w:r>
    </w:p>
    <w:p>
      <w:pPr>
        <w:pStyle w:val="Caption"/>
        <w:rPr>
          <w:sz w:val="22"/>
          <w:lang w:val="en-AU"/>
        </w:rPr>
      </w:pPr>
      <w:r>
        <w:rPr>
          <w:sz w:val="22"/>
        </w:rPr>
        <w:t xml:space="preserve">Table </w:t>
      </w:r>
      <w:r>
        <w:rPr>
          <w:sz w:val="22"/>
        </w:rPr>
        <w:fldChar w:fldCharType="begin"/>
      </w:r>
      <w:r>
        <w:rPr>
          <w:sz w:val="22"/>
        </w:rPr>
        <w:instrText> SEQ Tabla \* ARABIC </w:instrText>
      </w:r>
      <w:r>
        <w:rPr>
          <w:sz w:val="22"/>
        </w:rPr>
        <w:fldChar w:fldCharType="separate"/>
      </w:r>
      <w:r>
        <w:rPr>
          <w:sz w:val="22"/>
        </w:rPr>
        <w:t>1</w:t>
      </w:r>
      <w:r>
        <w:rPr>
          <w:sz w:val="22"/>
        </w:rPr>
        <w:fldChar w:fldCharType="end"/>
      </w:r>
      <w:r>
        <w:rPr>
          <w:sz w:val="22"/>
        </w:rPr>
        <w:t>: NNDSS data available in the Influenza Public Data Set</w:t>
      </w:r>
    </w:p>
    <w:tbl>
      <w:tblPr>
        <w:tblW w:w="9756" w:type="dxa"/>
        <w:jc w:val="left"/>
        <w:tblInd w:w="0" w:type="dxa"/>
        <w:tblCellMar>
          <w:top w:w="0" w:type="dxa"/>
          <w:left w:w="108" w:type="dxa"/>
          <w:bottom w:w="0" w:type="dxa"/>
          <w:right w:w="108" w:type="dxa"/>
        </w:tblCellMar>
        <w:tblLook w:val="04a0" w:noHBand="0" w:noVBand="1" w:firstColumn="1" w:lastRow="0" w:lastColumn="0" w:firstRow="1"/>
      </w:tblPr>
      <w:tblGrid>
        <w:gridCol w:w="2235"/>
        <w:gridCol w:w="7520"/>
      </w:tblGrid>
      <w:tr>
        <w:trPr/>
        <w:tc>
          <w:tcPr>
            <w:tcW w:w="2235" w:type="dxa"/>
            <w:tcBorders>
              <w:top w:val="single" w:sz="4" w:space="0" w:color="000000"/>
              <w:left w:val="single" w:sz="4" w:space="0" w:color="000000"/>
              <w:bottom w:val="single" w:sz="4" w:space="0" w:color="000000"/>
              <w:right w:val="single" w:sz="4" w:space="0" w:color="000000"/>
            </w:tcBorders>
            <w:shd w:color="auto" w:fill="4F81BD" w:val="clear"/>
          </w:tcPr>
          <w:p>
            <w:pPr>
              <w:pStyle w:val="Normal"/>
              <w:rPr>
                <w:b/>
                <w:b/>
                <w:color w:val="FFFFFF"/>
                <w:szCs w:val="22"/>
                <w:lang w:val="en-AU"/>
              </w:rPr>
            </w:pPr>
            <w:r>
              <w:rPr>
                <w:b/>
                <w:color w:val="FFFFFF"/>
                <w:szCs w:val="22"/>
                <w:lang w:val="en-AU"/>
              </w:rPr>
              <w:t>State or Territory</w:t>
            </w:r>
          </w:p>
        </w:tc>
        <w:tc>
          <w:tcPr>
            <w:tcW w:w="7520" w:type="dxa"/>
            <w:tcBorders>
              <w:top w:val="single" w:sz="4" w:space="0" w:color="000000"/>
              <w:left w:val="single" w:sz="4" w:space="0" w:color="000000"/>
              <w:bottom w:val="single" w:sz="4" w:space="0" w:color="000000"/>
              <w:right w:val="single" w:sz="4" w:space="0" w:color="000000"/>
            </w:tcBorders>
            <w:shd w:color="auto" w:fill="4F81BD" w:val="clear"/>
          </w:tcPr>
          <w:p>
            <w:pPr>
              <w:pStyle w:val="Normal"/>
              <w:rPr>
                <w:b/>
                <w:b/>
                <w:color w:val="FFFFFF"/>
                <w:szCs w:val="22"/>
                <w:lang w:val="en-AU"/>
              </w:rPr>
            </w:pPr>
            <w:r>
              <w:rPr>
                <w:b/>
                <w:color w:val="FFFFFF"/>
                <w:szCs w:val="22"/>
                <w:lang w:val="en-AU"/>
              </w:rPr>
              <w:t xml:space="preserve">NNDSS Data </w:t>
            </w:r>
          </w:p>
        </w:tc>
      </w:tr>
      <w:tr>
        <w:trPr/>
        <w:tc>
          <w:tcPr>
            <w:tcW w:w="22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Cs w:val="22"/>
                <w:lang w:val="en-AU"/>
              </w:rPr>
            </w:pPr>
            <w:r>
              <w:rPr>
                <w:szCs w:val="22"/>
                <w:lang w:val="en-AU"/>
              </w:rPr>
              <w:t>Australian Capital Territory</w:t>
            </w:r>
          </w:p>
        </w:tc>
        <w:tc>
          <w:tcPr>
            <w:tcW w:w="75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i/>
                <w:i/>
                <w:szCs w:val="22"/>
                <w:lang w:val="en-AU"/>
              </w:rPr>
            </w:pPr>
            <w:r>
              <w:rPr>
                <w:szCs w:val="22"/>
                <w:lang w:val="en-AU"/>
              </w:rPr>
              <w:t xml:space="preserve">Australian Capital Territory data are </w:t>
            </w:r>
            <w:r>
              <w:rPr>
                <w:b/>
                <w:szCs w:val="22"/>
                <w:lang w:val="en-AU"/>
              </w:rPr>
              <w:t>not</w:t>
            </w:r>
            <w:r>
              <w:rPr>
                <w:szCs w:val="22"/>
                <w:lang w:val="en-AU"/>
              </w:rPr>
              <w:t xml:space="preserve"> included in this data set. </w:t>
            </w:r>
            <w:r>
              <w:rPr>
                <w:i/>
                <w:szCs w:val="22"/>
                <w:lang w:val="en-AU"/>
              </w:rPr>
              <w:t>See notes below with regard to how access to these data.</w:t>
            </w:r>
          </w:p>
        </w:tc>
      </w:tr>
      <w:tr>
        <w:trPr/>
        <w:tc>
          <w:tcPr>
            <w:tcW w:w="22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Cs w:val="22"/>
                <w:lang w:val="en-AU"/>
              </w:rPr>
            </w:pPr>
            <w:r>
              <w:rPr>
                <w:szCs w:val="22"/>
                <w:lang w:val="en-AU"/>
              </w:rPr>
              <w:t>New South Wales</w:t>
            </w:r>
          </w:p>
        </w:tc>
        <w:tc>
          <w:tcPr>
            <w:tcW w:w="75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pPr>
            <w:r>
              <w:rPr>
                <w:szCs w:val="22"/>
                <w:lang w:val="en-AU"/>
              </w:rPr>
              <w:t>Week ending date, State, Age group, Sex and Type/Subtype.</w:t>
            </w:r>
          </w:p>
        </w:tc>
      </w:tr>
      <w:tr>
        <w:trPr/>
        <w:tc>
          <w:tcPr>
            <w:tcW w:w="22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Cs w:val="22"/>
                <w:lang w:val="en-AU"/>
              </w:rPr>
            </w:pPr>
            <w:r>
              <w:rPr>
                <w:szCs w:val="22"/>
                <w:lang w:val="en-AU"/>
              </w:rPr>
              <w:t>Northern Territory</w:t>
            </w:r>
          </w:p>
        </w:tc>
        <w:tc>
          <w:tcPr>
            <w:tcW w:w="75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pPr>
            <w:r>
              <w:rPr>
                <w:szCs w:val="22"/>
                <w:lang w:val="en-AU"/>
              </w:rPr>
              <w:t>Week ending date, State, Age group, Sex, Indigenous Status* and Type/Subtype.</w:t>
            </w:r>
          </w:p>
        </w:tc>
      </w:tr>
      <w:tr>
        <w:trPr/>
        <w:tc>
          <w:tcPr>
            <w:tcW w:w="22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Cs w:val="22"/>
                <w:lang w:val="en-AU"/>
              </w:rPr>
            </w:pPr>
            <w:r>
              <w:rPr>
                <w:szCs w:val="22"/>
                <w:lang w:val="en-AU"/>
              </w:rPr>
              <w:t xml:space="preserve">Queensland </w:t>
            </w:r>
          </w:p>
        </w:tc>
        <w:tc>
          <w:tcPr>
            <w:tcW w:w="75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pPr>
            <w:r>
              <w:rPr>
                <w:szCs w:val="22"/>
                <w:lang w:val="en-AU"/>
              </w:rPr>
              <w:t>Week ending date, State, Age group, Sex, Indigenous Status and Type/Subtype.</w:t>
            </w:r>
          </w:p>
        </w:tc>
      </w:tr>
      <w:tr>
        <w:trPr/>
        <w:tc>
          <w:tcPr>
            <w:tcW w:w="22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Cs w:val="22"/>
                <w:lang w:val="en-AU"/>
              </w:rPr>
            </w:pPr>
            <w:r>
              <w:rPr>
                <w:szCs w:val="22"/>
                <w:lang w:val="en-AU"/>
              </w:rPr>
              <w:t>South Australia</w:t>
            </w:r>
          </w:p>
        </w:tc>
        <w:tc>
          <w:tcPr>
            <w:tcW w:w="75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pPr>
            <w:r>
              <w:rPr>
                <w:szCs w:val="22"/>
                <w:lang w:val="en-AU"/>
              </w:rPr>
              <w:t>Week ending date, State, Age group, Sex  and Type/Subtype.</w:t>
            </w:r>
          </w:p>
        </w:tc>
      </w:tr>
      <w:tr>
        <w:trPr/>
        <w:tc>
          <w:tcPr>
            <w:tcW w:w="22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Cs w:val="22"/>
                <w:lang w:val="en-AU"/>
              </w:rPr>
            </w:pPr>
            <w:r>
              <w:rPr>
                <w:szCs w:val="22"/>
                <w:lang w:val="en-AU"/>
              </w:rPr>
              <w:t>Tasmania</w:t>
            </w:r>
          </w:p>
        </w:tc>
        <w:tc>
          <w:tcPr>
            <w:tcW w:w="75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pPr>
            <w:r>
              <w:rPr>
                <w:szCs w:val="22"/>
                <w:lang w:val="en-AU"/>
              </w:rPr>
              <w:t>Week ending date, State, Age group, Sex, Indigenous Status* and Type/Subtype.</w:t>
            </w:r>
          </w:p>
        </w:tc>
      </w:tr>
      <w:tr>
        <w:trPr/>
        <w:tc>
          <w:tcPr>
            <w:tcW w:w="22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Cs w:val="22"/>
                <w:lang w:val="en-AU"/>
              </w:rPr>
            </w:pPr>
            <w:r>
              <w:rPr>
                <w:szCs w:val="22"/>
                <w:lang w:val="en-AU"/>
              </w:rPr>
              <w:t>Victoria</w:t>
            </w:r>
          </w:p>
        </w:tc>
        <w:tc>
          <w:tcPr>
            <w:tcW w:w="75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pPr>
            <w:r>
              <w:rPr>
                <w:szCs w:val="22"/>
                <w:lang w:val="en-AU"/>
              </w:rPr>
              <w:t>Week ending date, State, Age group, Sex, Indigenous Status* and Type/Subtype.</w:t>
            </w:r>
          </w:p>
        </w:tc>
      </w:tr>
      <w:tr>
        <w:trPr/>
        <w:tc>
          <w:tcPr>
            <w:tcW w:w="22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Cs w:val="22"/>
                <w:lang w:val="en-AU"/>
              </w:rPr>
            </w:pPr>
            <w:r>
              <w:rPr>
                <w:szCs w:val="22"/>
                <w:lang w:val="en-AU"/>
              </w:rPr>
              <w:t>Western Australia</w:t>
            </w:r>
          </w:p>
        </w:tc>
        <w:tc>
          <w:tcPr>
            <w:tcW w:w="75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pPr>
            <w:r>
              <w:rPr>
                <w:szCs w:val="22"/>
                <w:lang w:val="en-AU"/>
              </w:rPr>
              <w:t>Week ending date, State, Age group, Sex, Indigenous Status* and Type/Subtype.</w:t>
            </w:r>
          </w:p>
        </w:tc>
      </w:tr>
    </w:tbl>
    <w:p>
      <w:pPr>
        <w:pStyle w:val="StyleCalibri11ptAfter6pt"/>
        <w:ind w:left="360" w:hanging="0"/>
        <w:rPr>
          <w:lang w:val="en-AU"/>
        </w:rPr>
      </w:pPr>
      <w:r>
        <w:rPr>
          <w:lang w:val="en-AU"/>
        </w:rPr>
        <w:t>* Inclusion of Indigenous status is subject to completeness assessment on a yearly basis. Refer to field definitions notes below for further details.</w:t>
      </w:r>
    </w:p>
    <w:p>
      <w:pPr>
        <w:pStyle w:val="Normal"/>
        <w:ind w:left="360" w:hanging="0"/>
        <w:rPr>
          <w:szCs w:val="22"/>
        </w:rPr>
      </w:pPr>
      <w:r>
        <w:rPr>
          <w:szCs w:val="22"/>
        </w:rPr>
      </w:r>
    </w:p>
    <w:p>
      <w:pPr>
        <w:pStyle w:val="Normal"/>
        <w:numPr>
          <w:ilvl w:val="0"/>
          <w:numId w:val="1"/>
        </w:numPr>
        <w:rPr>
          <w:szCs w:val="22"/>
        </w:rPr>
      </w:pPr>
      <w:r>
        <w:rPr>
          <w:szCs w:val="22"/>
        </w:rPr>
        <w:t xml:space="preserve">If Influenza data for </w:t>
      </w:r>
      <w:r>
        <w:rPr>
          <w:szCs w:val="22"/>
          <w:lang w:val="en-AU"/>
        </w:rPr>
        <w:t xml:space="preserve">Australian Capital Territory (ACT) </w:t>
      </w:r>
      <w:r>
        <w:rPr>
          <w:szCs w:val="22"/>
        </w:rPr>
        <w:t xml:space="preserve">are required, a formal data request should be submitted directly to the </w:t>
      </w:r>
      <w:r>
        <w:rPr>
          <w:bCs/>
          <w:szCs w:val="22"/>
        </w:rPr>
        <w:t xml:space="preserve">Surveillance &amp; Management, Communicable Disease Control, Health Protection Service. </w:t>
      </w:r>
      <w:r>
        <w:rPr>
          <w:szCs w:val="22"/>
        </w:rPr>
        <w:t xml:space="preserve">Please contact the Surveillance Officer on (02) 6205 2155 or at </w:t>
      </w:r>
      <w:hyperlink r:id="rId3">
        <w:r>
          <w:rPr>
            <w:rStyle w:val="EnlacedeInternet"/>
            <w:szCs w:val="22"/>
          </w:rPr>
          <w:t>cdc@act.gov.au</w:t>
        </w:r>
      </w:hyperlink>
      <w:r>
        <w:rPr>
          <w:szCs w:val="22"/>
        </w:rPr>
        <w:t>.</w:t>
      </w:r>
    </w:p>
    <w:p>
      <w:pPr>
        <w:pStyle w:val="Ttulo1"/>
        <w:rPr/>
      </w:pPr>
      <w:r>
        <w:rPr/>
      </w:r>
    </w:p>
    <w:p>
      <w:pPr>
        <w:pStyle w:val="Ttulo1"/>
        <w:rPr/>
      </w:pPr>
      <w:bookmarkStart w:id="1" w:name="_Toc523980340"/>
      <w:r>
        <w:rPr/>
        <w:t>DATA CAVEATS AND INTERPRETATION</w:t>
      </w:r>
      <w:bookmarkEnd w:id="1"/>
    </w:p>
    <w:p>
      <w:pPr>
        <w:pStyle w:val="Normal"/>
        <w:spacing w:before="0" w:after="120"/>
        <w:rPr>
          <w:szCs w:val="22"/>
          <w:lang w:val="en-AU"/>
        </w:rPr>
      </w:pPr>
      <w:r>
        <w:rPr>
          <w:szCs w:val="22"/>
          <w:lang w:val="en-AU"/>
        </w:rPr>
        <w:t xml:space="preserve">It should be noted there are several caveats to the National Notifiable Diseases Surveillance System (NNDSS) data </w:t>
      </w:r>
      <w:r>
        <w:rPr>
          <w:rFonts w:asciiTheme="minorHAnsi" w:hAnsiTheme="minorHAnsi"/>
          <w:szCs w:val="22"/>
          <w:lang w:val="en-AU"/>
        </w:rPr>
        <w:t>for Influenza (laboratory confirmed) notifications in this public dataset release</w:t>
      </w:r>
      <w:r>
        <w:rPr>
          <w:szCs w:val="22"/>
          <w:lang w:val="en-AU"/>
        </w:rPr>
        <w:t>:</w:t>
      </w:r>
    </w:p>
    <w:p>
      <w:pPr>
        <w:pStyle w:val="Ttulo2"/>
        <w:rPr>
          <w:lang w:val="en-AU"/>
        </w:rPr>
      </w:pPr>
      <w:bookmarkStart w:id="2" w:name="_Toc523980341"/>
      <w:bookmarkStart w:id="3" w:name="_Toc393698613"/>
      <w:r>
        <w:rPr>
          <w:lang w:val="en-AU"/>
        </w:rPr>
        <w:t>General</w:t>
      </w:r>
      <w:bookmarkEnd w:id="2"/>
      <w:bookmarkEnd w:id="3"/>
    </w:p>
    <w:p>
      <w:pPr>
        <w:pStyle w:val="Normal"/>
        <w:numPr>
          <w:ilvl w:val="0"/>
          <w:numId w:val="1"/>
        </w:numPr>
        <w:spacing w:before="0" w:after="120"/>
        <w:rPr>
          <w:rFonts w:ascii="Calibri" w:hAnsi="Calibri" w:asciiTheme="minorHAnsi" w:hAnsiTheme="minorHAnsi"/>
          <w:szCs w:val="22"/>
          <w:lang w:val="en-AU"/>
        </w:rPr>
      </w:pPr>
      <w:r>
        <w:rPr>
          <w:rFonts w:asciiTheme="minorHAnsi" w:hAnsiTheme="minorHAnsi"/>
          <w:szCs w:val="22"/>
          <w:lang w:val="en-AU"/>
        </w:rPr>
        <w:t>These Influenza notification data are based on data extracted from the NNDSS on the date specified in the downloaded MS Excel Influenza public dataset. Due to the dynamic nature of the NNDSS, data on this extract is subject to retrospective revision and may vary from data reported in published NNDSS reports and reports of notification data by states and territories.</w:t>
      </w:r>
    </w:p>
    <w:p>
      <w:pPr>
        <w:pStyle w:val="Normal"/>
        <w:numPr>
          <w:ilvl w:val="0"/>
          <w:numId w:val="1"/>
        </w:numPr>
        <w:spacing w:before="0" w:after="120"/>
        <w:rPr>
          <w:rFonts w:ascii="Calibri" w:hAnsi="Calibri" w:asciiTheme="minorHAnsi" w:hAnsiTheme="minorHAnsi"/>
          <w:szCs w:val="22"/>
          <w:lang w:val="en-AU"/>
        </w:rPr>
      </w:pPr>
      <w:r>
        <w:rPr>
          <w:rFonts w:asciiTheme="minorHAnsi" w:hAnsiTheme="minorHAnsi"/>
          <w:szCs w:val="22"/>
          <w:lang w:val="en-AU"/>
        </w:rPr>
        <w:t>These notification data represent only a proportion of the total cases occurring in the community, that is, only those cases for which health care was sought, a test conducted and a diagnosis made, followed by a notification to health authorities. The degree of under-representation of all cases is unknown and is most likely variable by disease and jurisdiction.</w:t>
      </w:r>
    </w:p>
    <w:p>
      <w:pPr>
        <w:pStyle w:val="Normal"/>
        <w:numPr>
          <w:ilvl w:val="0"/>
          <w:numId w:val="1"/>
        </w:numPr>
        <w:spacing w:before="0" w:after="120"/>
        <w:rPr>
          <w:rFonts w:ascii="Calibri" w:hAnsi="Calibri" w:asciiTheme="minorHAnsi" w:hAnsiTheme="minorHAnsi"/>
          <w:szCs w:val="22"/>
          <w:lang w:val="en-AU"/>
        </w:rPr>
      </w:pPr>
      <w:r>
        <w:rPr>
          <w:rFonts w:asciiTheme="minorHAnsi" w:hAnsiTheme="minorHAnsi"/>
          <w:szCs w:val="22"/>
          <w:lang w:val="en-AU"/>
        </w:rPr>
        <w:t xml:space="preserve">In interpreting these data it is important to note that changes in notifications over time may not solely reflect changes in disease prevalence or incidence. Changes in testing policies; screening programs including the preferential testing of high risk populations; the use of less invasive and more sensitive diagnostic tests; and periodic awareness campaigns, may influence the number of notifications that occur annually. </w:t>
      </w:r>
    </w:p>
    <w:p>
      <w:pPr>
        <w:pStyle w:val="Ttulo2"/>
        <w:rPr>
          <w:lang w:val="en-AU"/>
        </w:rPr>
      </w:pPr>
      <w:bookmarkStart w:id="4" w:name="_Toc523980342"/>
      <w:r>
        <w:rPr>
          <w:lang w:val="en-AU"/>
        </w:rPr>
        <w:t>Cross</w:t>
        <w:noBreakHyphen/>
        <w:t>border NNDSS Notification Protocol</w:t>
      </w:r>
      <w:bookmarkEnd w:id="4"/>
    </w:p>
    <w:p>
      <w:pPr>
        <w:pStyle w:val="Normal"/>
        <w:numPr>
          <w:ilvl w:val="0"/>
          <w:numId w:val="1"/>
        </w:numPr>
        <w:spacing w:before="0" w:after="120"/>
        <w:rPr>
          <w:szCs w:val="22"/>
          <w:lang w:val="en-AU"/>
        </w:rPr>
      </w:pPr>
      <w:r>
        <w:rPr>
          <w:szCs w:val="22"/>
          <w:lang w:val="en-AU"/>
        </w:rPr>
        <w:t>From 1 January 2009 the Communicable Diseases Network Australia (CDNA) implemented the Cross</w:t>
        <w:noBreakHyphen/>
        <w:t xml:space="preserve">border NNDSS Notification Protocol. The Protocol establishes that notifications are reported by the jurisdiction of residence, regardless of the jurisdiction of diagnosis. In the instance that a case is usually resident overseas, the notification is reported to the NNDSS by the jurisdiction of diagnosis. </w:t>
      </w:r>
    </w:p>
    <w:p>
      <w:pPr>
        <w:pStyle w:val="Ttulo2"/>
        <w:rPr>
          <w:rFonts w:ascii="Calibri" w:hAnsi="Calibri" w:asciiTheme="minorHAnsi" w:hAnsiTheme="minorHAnsi"/>
          <w:lang w:val="en-AU"/>
        </w:rPr>
      </w:pPr>
      <w:bookmarkStart w:id="5" w:name="_Toc384892549"/>
      <w:bookmarkStart w:id="6" w:name="_Toc379459692"/>
      <w:bookmarkStart w:id="7" w:name="_Toc393698614"/>
      <w:bookmarkStart w:id="8" w:name="_Toc523980343"/>
      <w:bookmarkStart w:id="9" w:name="_Toc489949670"/>
      <w:bookmarkEnd w:id="5"/>
      <w:bookmarkEnd w:id="6"/>
      <w:bookmarkEnd w:id="7"/>
      <w:r>
        <w:rPr>
          <w:rFonts w:asciiTheme="minorHAnsi" w:hAnsiTheme="minorHAnsi"/>
          <w:lang w:val="en-AU"/>
        </w:rPr>
        <w:t>Case definition and notification to the NNDSS</w:t>
      </w:r>
      <w:bookmarkEnd w:id="8"/>
      <w:bookmarkEnd w:id="9"/>
    </w:p>
    <w:p>
      <w:pPr>
        <w:pStyle w:val="Normal"/>
        <w:numPr>
          <w:ilvl w:val="0"/>
          <w:numId w:val="1"/>
        </w:numPr>
        <w:spacing w:before="0" w:after="120"/>
        <w:rPr>
          <w:szCs w:val="22"/>
          <w:lang w:val="en-AU"/>
        </w:rPr>
      </w:pPr>
      <w:bookmarkStart w:id="10" w:name="_Toc489949671"/>
      <w:bookmarkEnd w:id="10"/>
      <w:r>
        <w:rPr>
          <w:szCs w:val="22"/>
          <w:lang w:val="en-AU"/>
        </w:rPr>
        <w:t xml:space="preserve">The current surveillance case definition for influenza, including any historical edits, are available at: </w:t>
      </w:r>
      <w:hyperlink r:id="rId4">
        <w:r>
          <w:rPr>
            <w:rStyle w:val="EnlacedeInternet"/>
            <w:szCs w:val="22"/>
            <w:lang w:val="en-AU"/>
          </w:rPr>
          <w:t>http://www.health.gov.au/internet/main/publishing.nsf/Content/cda-surveil-nndss-casedefs-cd_flu.htm</w:t>
        </w:r>
      </w:hyperlink>
      <w:r>
        <w:rPr>
          <w:szCs w:val="22"/>
          <w:lang w:val="en-AU"/>
        </w:rPr>
        <w:t xml:space="preserve">. </w:t>
      </w:r>
    </w:p>
    <w:p>
      <w:pPr>
        <w:pStyle w:val="Normal"/>
        <w:numPr>
          <w:ilvl w:val="0"/>
          <w:numId w:val="1"/>
        </w:numPr>
        <w:spacing w:before="0" w:after="120"/>
        <w:rPr>
          <w:szCs w:val="22"/>
          <w:lang w:val="en-AU"/>
        </w:rPr>
      </w:pPr>
      <w:r>
        <w:rPr>
          <w:szCs w:val="22"/>
          <w:lang w:val="en-AU"/>
        </w:rPr>
        <w:t xml:space="preserve">In September 2003, new national case definitions for notifications reported to NNDSS were endorsed by the CDNA, with nearly all jurisdictions implementing the new definitions in January 2004 (New South Wales commenced in August 2004). Prior to the adoption of the national definitions, some jurisdictions used the 1994 NHMRC case definitions, some jurisdictions used modified definitions that were based on the NHMRC case definitions, and some others used definitions specific to the state for some diseases.  </w:t>
      </w:r>
    </w:p>
    <w:p>
      <w:pPr>
        <w:pStyle w:val="Normal"/>
        <w:numPr>
          <w:ilvl w:val="0"/>
          <w:numId w:val="1"/>
        </w:numPr>
        <w:spacing w:before="0" w:after="120"/>
        <w:rPr>
          <w:szCs w:val="22"/>
          <w:lang w:val="en-AU"/>
        </w:rPr>
      </w:pPr>
      <w:r>
        <w:rPr>
          <w:szCs w:val="22"/>
          <w:lang w:val="en-AU"/>
        </w:rPr>
        <w:t xml:space="preserve">The case definition for influenza was last reviewed in 2008.  </w:t>
      </w:r>
    </w:p>
    <w:p>
      <w:pPr>
        <w:pStyle w:val="Ttulo1"/>
        <w:rPr/>
      </w:pPr>
      <w:bookmarkStart w:id="11" w:name="_Toc489949671"/>
      <w:bookmarkStart w:id="12" w:name="_Toc523980344"/>
      <w:bookmarkStart w:id="13" w:name="_Toc489949672"/>
      <w:bookmarkEnd w:id="11"/>
      <w:r>
        <w:rPr/>
        <w:t>FIELD DEFINITIONS</w:t>
      </w:r>
      <w:bookmarkEnd w:id="12"/>
      <w:bookmarkEnd w:id="13"/>
    </w:p>
    <w:p>
      <w:pPr>
        <w:pStyle w:val="Ttulo2"/>
        <w:rPr>
          <w:rFonts w:ascii="Calibri" w:hAnsi="Calibri" w:asciiTheme="minorHAnsi" w:hAnsiTheme="minorHAnsi"/>
          <w:lang w:val="en-AU"/>
        </w:rPr>
      </w:pPr>
      <w:bookmarkStart w:id="14" w:name="_Toc413853467"/>
      <w:bookmarkStart w:id="15" w:name="_Toc401657540"/>
      <w:bookmarkStart w:id="16" w:name="_Toc523980345"/>
      <w:bookmarkStart w:id="17" w:name="_Toc489949674"/>
      <w:bookmarkEnd w:id="14"/>
      <w:bookmarkEnd w:id="15"/>
      <w:r>
        <w:rPr>
          <w:rFonts w:asciiTheme="minorHAnsi" w:hAnsiTheme="minorHAnsi"/>
          <w:lang w:val="en-AU"/>
        </w:rPr>
        <w:t>Week Ending (Friday)</w:t>
      </w:r>
      <w:bookmarkEnd w:id="16"/>
      <w:bookmarkEnd w:id="17"/>
    </w:p>
    <w:p>
      <w:pPr>
        <w:pStyle w:val="Normal"/>
        <w:spacing w:before="0" w:after="120"/>
        <w:rPr>
          <w:iCs/>
          <w:lang w:val="en-AU"/>
        </w:rPr>
      </w:pPr>
      <w:bookmarkStart w:id="18" w:name="_Toc489949675"/>
      <w:bookmarkEnd w:id="18"/>
      <w:r>
        <w:rPr>
          <w:szCs w:val="22"/>
          <w:lang w:val="en-AU"/>
        </w:rPr>
        <w:t>The date of the Friday, following the day that the notified case was diagnosed with influenza.</w:t>
      </w:r>
    </w:p>
    <w:p>
      <w:pPr>
        <w:pStyle w:val="Normal"/>
        <w:spacing w:before="0" w:after="120"/>
        <w:rPr>
          <w:szCs w:val="22"/>
          <w:u w:val="single"/>
          <w:lang w:val="en-AU"/>
        </w:rPr>
      </w:pPr>
      <w:r>
        <w:rPr>
          <w:szCs w:val="22"/>
          <w:u w:val="single"/>
          <w:lang w:val="en-AU"/>
        </w:rPr>
        <w:t>Notes on interpretation:</w:t>
      </w:r>
    </w:p>
    <w:p>
      <w:pPr>
        <w:pStyle w:val="Normal"/>
        <w:numPr>
          <w:ilvl w:val="0"/>
          <w:numId w:val="1"/>
        </w:numPr>
        <w:spacing w:before="0" w:after="120"/>
        <w:rPr>
          <w:szCs w:val="22"/>
          <w:lang w:val="en-AU"/>
        </w:rPr>
      </w:pPr>
      <w:r>
        <w:rPr>
          <w:szCs w:val="22"/>
          <w:lang w:val="en-AU"/>
        </w:rPr>
        <w:t>“</w:t>
      </w:r>
      <w:r>
        <w:rPr>
          <w:szCs w:val="22"/>
          <w:lang w:val="en-AU"/>
        </w:rPr>
        <w:t>Diagnosis date” is a derived field representing the disease onset date or when the date of onset is not known, the earliest of the specimen collection, the notification, or the notification received dates.</w:t>
      </w:r>
    </w:p>
    <w:p>
      <w:pPr>
        <w:pStyle w:val="Ttulo2"/>
        <w:rPr>
          <w:rFonts w:ascii="Calibri" w:hAnsi="Calibri" w:asciiTheme="minorHAnsi" w:hAnsiTheme="minorHAnsi"/>
          <w:lang w:val="en-AU"/>
        </w:rPr>
      </w:pPr>
      <w:bookmarkStart w:id="19" w:name="_Toc523980346"/>
      <w:bookmarkStart w:id="20" w:name="_Toc489949676"/>
      <w:bookmarkStart w:id="21" w:name="_Toc474836445"/>
      <w:r>
        <w:rPr>
          <w:rFonts w:asciiTheme="minorHAnsi" w:hAnsiTheme="minorHAnsi"/>
          <w:lang w:val="en-AU"/>
        </w:rPr>
        <w:t>State</w:t>
      </w:r>
      <w:bookmarkEnd w:id="19"/>
      <w:bookmarkEnd w:id="20"/>
      <w:bookmarkEnd w:id="21"/>
    </w:p>
    <w:p>
      <w:pPr>
        <w:pStyle w:val="Normal"/>
        <w:spacing w:before="0" w:after="120"/>
        <w:rPr>
          <w:rFonts w:ascii="Calibri" w:hAnsi="Calibri" w:asciiTheme="minorHAnsi" w:hAnsiTheme="minorHAnsi"/>
          <w:szCs w:val="22"/>
          <w:lang w:val="en-AU"/>
        </w:rPr>
      </w:pPr>
      <w:r>
        <w:rPr>
          <w:rFonts w:asciiTheme="minorHAnsi" w:hAnsiTheme="minorHAnsi"/>
          <w:szCs w:val="22"/>
          <w:lang w:val="en-AU"/>
        </w:rPr>
        <w:t xml:space="preserve">The State or Territory which sends the notification. Additionally, this field represents the jurisdiction of residence of the notified case. Where the case usually resides overseas, State is the jurisdiction where the diagnosis took place. </w:t>
      </w:r>
    </w:p>
    <w:p>
      <w:pPr>
        <w:pStyle w:val="Normal"/>
        <w:spacing w:before="0" w:after="120"/>
        <w:rPr>
          <w:rFonts w:ascii="Calibri" w:hAnsi="Calibri" w:asciiTheme="minorHAnsi" w:hAnsiTheme="minorHAnsi"/>
          <w:i/>
          <w:i/>
          <w:szCs w:val="22"/>
          <w:lang w:val="en-AU"/>
        </w:rPr>
      </w:pPr>
      <w:r>
        <w:rPr>
          <w:rFonts w:asciiTheme="minorHAnsi" w:hAnsiTheme="minorHAnsi"/>
          <w:i/>
          <w:szCs w:val="22"/>
          <w:u w:val="single"/>
          <w:lang w:val="en-AU"/>
        </w:rPr>
        <w:t>Note</w:t>
      </w:r>
      <w:r>
        <w:rPr>
          <w:rFonts w:asciiTheme="minorHAnsi" w:hAnsiTheme="minorHAnsi"/>
          <w:i/>
          <w:szCs w:val="22"/>
          <w:lang w:val="en-AU"/>
        </w:rPr>
        <w:t>: information on Influenza cases from the Australian Capital Territory are not available in this public dataset. Please contact</w:t>
      </w:r>
      <w:r>
        <w:rPr/>
        <w:t xml:space="preserve"> </w:t>
      </w:r>
      <w:r>
        <w:rPr>
          <w:rFonts w:asciiTheme="minorHAnsi" w:hAnsiTheme="minorHAnsi"/>
          <w:i/>
          <w:szCs w:val="22"/>
          <w:lang w:val="en-AU"/>
        </w:rPr>
        <w:t>the Surveillance &amp; Management, Communicable Disease Control, Health Protection Service.</w:t>
      </w:r>
    </w:p>
    <w:p>
      <w:pPr>
        <w:pStyle w:val="Normal"/>
        <w:spacing w:before="0" w:after="120"/>
        <w:rPr>
          <w:rFonts w:ascii="Calibri" w:hAnsi="Calibri" w:asciiTheme="minorHAnsi" w:hAnsiTheme="minorHAnsi"/>
          <w:szCs w:val="22"/>
          <w:u w:val="single"/>
          <w:lang w:val="en-AU"/>
        </w:rPr>
      </w:pPr>
      <w:r>
        <w:rPr>
          <w:rFonts w:asciiTheme="minorHAnsi" w:hAnsiTheme="minorHAnsi"/>
          <w:szCs w:val="22"/>
          <w:u w:val="single"/>
          <w:lang w:val="en-AU"/>
        </w:rPr>
        <w:t>Data domain:</w:t>
      </w:r>
    </w:p>
    <w:p>
      <w:pPr>
        <w:pStyle w:val="Normal"/>
        <w:numPr>
          <w:ilvl w:val="0"/>
          <w:numId w:val="1"/>
        </w:numPr>
        <w:rPr>
          <w:rFonts w:ascii="Calibri" w:hAnsi="Calibri" w:asciiTheme="minorHAnsi" w:hAnsiTheme="minorHAnsi"/>
          <w:szCs w:val="22"/>
          <w:lang w:val="en-AU"/>
        </w:rPr>
      </w:pPr>
      <w:r>
        <w:rPr>
          <w:rFonts w:asciiTheme="minorHAnsi" w:hAnsiTheme="minorHAnsi"/>
          <w:szCs w:val="22"/>
          <w:lang w:val="en-AU"/>
        </w:rPr>
        <w:t>NSW = New South Wales</w:t>
      </w:r>
    </w:p>
    <w:p>
      <w:pPr>
        <w:pStyle w:val="Normal"/>
        <w:numPr>
          <w:ilvl w:val="0"/>
          <w:numId w:val="1"/>
        </w:numPr>
        <w:rPr>
          <w:rFonts w:ascii="Calibri" w:hAnsi="Calibri" w:asciiTheme="minorHAnsi" w:hAnsiTheme="minorHAnsi"/>
          <w:szCs w:val="22"/>
          <w:lang w:val="en-AU"/>
        </w:rPr>
      </w:pPr>
      <w:r>
        <w:rPr>
          <w:rFonts w:asciiTheme="minorHAnsi" w:hAnsiTheme="minorHAnsi"/>
          <w:szCs w:val="22"/>
          <w:lang w:val="en-AU"/>
        </w:rPr>
        <w:t>NT = Northern Territory</w:t>
      </w:r>
    </w:p>
    <w:p>
      <w:pPr>
        <w:pStyle w:val="Normal"/>
        <w:numPr>
          <w:ilvl w:val="0"/>
          <w:numId w:val="1"/>
        </w:numPr>
        <w:rPr>
          <w:rFonts w:ascii="Calibri" w:hAnsi="Calibri" w:asciiTheme="minorHAnsi" w:hAnsiTheme="minorHAnsi"/>
          <w:szCs w:val="22"/>
          <w:lang w:val="en-AU"/>
        </w:rPr>
      </w:pPr>
      <w:r>
        <w:rPr>
          <w:rFonts w:asciiTheme="minorHAnsi" w:hAnsiTheme="minorHAnsi"/>
          <w:szCs w:val="22"/>
          <w:lang w:val="en-AU"/>
        </w:rPr>
        <w:t>Qld = Queensland</w:t>
      </w:r>
    </w:p>
    <w:p>
      <w:pPr>
        <w:pStyle w:val="Normal"/>
        <w:numPr>
          <w:ilvl w:val="0"/>
          <w:numId w:val="1"/>
        </w:numPr>
        <w:rPr>
          <w:rFonts w:ascii="Calibri" w:hAnsi="Calibri" w:asciiTheme="minorHAnsi" w:hAnsiTheme="minorHAnsi"/>
          <w:szCs w:val="22"/>
          <w:lang w:val="en-AU"/>
        </w:rPr>
      </w:pPr>
      <w:r>
        <w:rPr>
          <w:rFonts w:asciiTheme="minorHAnsi" w:hAnsiTheme="minorHAnsi"/>
          <w:szCs w:val="22"/>
          <w:lang w:val="en-AU"/>
        </w:rPr>
        <w:t>SA = South Australia</w:t>
      </w:r>
    </w:p>
    <w:p>
      <w:pPr>
        <w:pStyle w:val="Normal"/>
        <w:numPr>
          <w:ilvl w:val="0"/>
          <w:numId w:val="1"/>
        </w:numPr>
        <w:rPr>
          <w:rFonts w:ascii="Calibri" w:hAnsi="Calibri" w:asciiTheme="minorHAnsi" w:hAnsiTheme="minorHAnsi"/>
          <w:szCs w:val="22"/>
          <w:lang w:val="en-AU"/>
        </w:rPr>
      </w:pPr>
      <w:r>
        <w:rPr>
          <w:rFonts w:asciiTheme="minorHAnsi" w:hAnsiTheme="minorHAnsi"/>
          <w:szCs w:val="22"/>
          <w:lang w:val="en-AU"/>
        </w:rPr>
        <w:t>Tas = Tasmania</w:t>
      </w:r>
    </w:p>
    <w:p>
      <w:pPr>
        <w:pStyle w:val="Normal"/>
        <w:numPr>
          <w:ilvl w:val="0"/>
          <w:numId w:val="1"/>
        </w:numPr>
        <w:rPr>
          <w:rFonts w:ascii="Calibri" w:hAnsi="Calibri" w:asciiTheme="minorHAnsi" w:hAnsiTheme="minorHAnsi"/>
          <w:szCs w:val="22"/>
          <w:lang w:val="en-AU"/>
        </w:rPr>
      </w:pPr>
      <w:r>
        <w:rPr>
          <w:rFonts w:asciiTheme="minorHAnsi" w:hAnsiTheme="minorHAnsi"/>
          <w:szCs w:val="22"/>
          <w:lang w:val="en-AU"/>
        </w:rPr>
        <w:t>Vic = Victoria</w:t>
      </w:r>
    </w:p>
    <w:p>
      <w:pPr>
        <w:pStyle w:val="Normal"/>
        <w:numPr>
          <w:ilvl w:val="0"/>
          <w:numId w:val="1"/>
        </w:numPr>
        <w:rPr>
          <w:rFonts w:ascii="Calibri" w:hAnsi="Calibri" w:asciiTheme="minorHAnsi" w:hAnsiTheme="minorHAnsi"/>
          <w:szCs w:val="22"/>
          <w:lang w:val="en-AU"/>
        </w:rPr>
      </w:pPr>
      <w:r>
        <w:rPr>
          <w:rFonts w:asciiTheme="minorHAnsi" w:hAnsiTheme="minorHAnsi"/>
          <w:szCs w:val="22"/>
          <w:lang w:val="en-AU"/>
        </w:rPr>
        <w:t>WA = Western Australia</w:t>
      </w:r>
    </w:p>
    <w:p>
      <w:pPr>
        <w:pStyle w:val="Ttulo2"/>
        <w:rPr>
          <w:rStyle w:val="Strong"/>
          <w:rFonts w:ascii="Calibri" w:hAnsi="Calibri" w:asciiTheme="minorHAnsi" w:hAnsiTheme="minorHAnsi"/>
          <w:sz w:val="22"/>
          <w:szCs w:val="22"/>
        </w:rPr>
      </w:pPr>
      <w:bookmarkStart w:id="22" w:name="_Toc523980347"/>
      <w:r>
        <w:rPr>
          <w:rFonts w:asciiTheme="minorHAnsi" w:hAnsiTheme="minorHAnsi"/>
        </w:rPr>
        <w:t>Age Group</w:t>
      </w:r>
      <w:bookmarkEnd w:id="22"/>
    </w:p>
    <w:p>
      <w:pPr>
        <w:pStyle w:val="Normal"/>
        <w:rPr>
          <w:rFonts w:ascii="Calibri" w:hAnsi="Calibri" w:asciiTheme="minorHAnsi" w:hAnsiTheme="minorHAnsi"/>
          <w:bCs/>
          <w:szCs w:val="22"/>
        </w:rPr>
      </w:pPr>
      <w:r>
        <w:rPr>
          <w:szCs w:val="22"/>
          <w:lang w:val="en-AU"/>
        </w:rPr>
        <w:t>Age in years of the notified case at onset of disease presented in 5 year age groups. Age is based on the age of the individual as reported to the health authority or the calculated age at onset, using the difference between date of birth and diagnosis date. The age at onset is always rounded down to the age at last birthday, for example a case aged 3 years and 10 months at disease onset is reported as being 3 years.</w:t>
      </w:r>
      <w:r>
        <w:rPr>
          <w:rFonts w:asciiTheme="minorHAnsi" w:hAnsiTheme="minorHAnsi"/>
          <w:bCs/>
          <w:szCs w:val="22"/>
        </w:rPr>
        <w:t xml:space="preserve"> Age groups are presented according to a notified case’s age in completed years, for example the 00-04 years age group includes cases from birth to 4 full years of age, but less than 5 years of age.</w:t>
      </w:r>
    </w:p>
    <w:p>
      <w:pPr>
        <w:pStyle w:val="Normal"/>
        <w:rPr>
          <w:rFonts w:ascii="Calibri" w:hAnsi="Calibri" w:asciiTheme="minorHAnsi" w:hAnsiTheme="minorHAnsi"/>
          <w:bCs/>
          <w:szCs w:val="22"/>
        </w:rPr>
      </w:pPr>
      <w:r>
        <w:rPr>
          <w:rFonts w:asciiTheme="minorHAnsi" w:hAnsiTheme="minorHAnsi"/>
          <w:bCs/>
          <w:szCs w:val="22"/>
        </w:rPr>
      </w:r>
    </w:p>
    <w:p>
      <w:pPr>
        <w:pStyle w:val="Normal"/>
        <w:rPr>
          <w:rFonts w:ascii="Calibri" w:hAnsi="Calibri" w:asciiTheme="minorHAnsi" w:hAnsiTheme="minorHAnsi"/>
          <w:bCs/>
          <w:szCs w:val="22"/>
        </w:rPr>
      </w:pPr>
      <w:r>
        <w:rPr>
          <w:rFonts w:asciiTheme="minorHAnsi" w:hAnsiTheme="minorHAnsi"/>
          <w:bCs/>
          <w:szCs w:val="22"/>
        </w:rPr>
        <w:t>Where age at onset is not reported by the jurisdiction, it is calculated by determining the age at the date of diagnosis.</w:t>
      </w:r>
    </w:p>
    <w:p>
      <w:pPr>
        <w:pStyle w:val="Normal"/>
        <w:rPr>
          <w:rFonts w:ascii="Calibri" w:hAnsi="Calibri" w:asciiTheme="minorHAnsi" w:hAnsiTheme="minorHAnsi"/>
          <w:bCs/>
          <w:szCs w:val="22"/>
        </w:rPr>
      </w:pPr>
      <w:r>
        <w:rPr>
          <w:rFonts w:asciiTheme="minorHAnsi" w:hAnsiTheme="minorHAnsi"/>
          <w:bCs/>
          <w:szCs w:val="22"/>
        </w:rPr>
      </w:r>
    </w:p>
    <w:p>
      <w:pPr>
        <w:pStyle w:val="Normal"/>
        <w:rPr>
          <w:rFonts w:ascii="Calibri" w:hAnsi="Calibri" w:asciiTheme="minorHAnsi" w:hAnsiTheme="minorHAnsi"/>
          <w:bCs/>
          <w:szCs w:val="22"/>
          <w:u w:val="single"/>
        </w:rPr>
      </w:pPr>
      <w:r>
        <w:rPr>
          <w:rFonts w:asciiTheme="minorHAnsi" w:hAnsiTheme="minorHAnsi"/>
          <w:bCs/>
          <w:szCs w:val="22"/>
          <w:u w:val="single"/>
        </w:rPr>
        <w:t>Data domain:</w:t>
      </w:r>
    </w:p>
    <w:p>
      <w:pPr>
        <w:pStyle w:val="ListParagraph"/>
        <w:numPr>
          <w:ilvl w:val="0"/>
          <w:numId w:val="3"/>
        </w:numPr>
        <w:rPr>
          <w:szCs w:val="22"/>
          <w:lang w:val="en-AU"/>
        </w:rPr>
      </w:pPr>
      <w:r>
        <w:rPr>
          <w:szCs w:val="22"/>
          <w:lang w:val="en-AU"/>
        </w:rPr>
        <w:t>Five-year age groups: 0 to 84 years</w:t>
      </w:r>
    </w:p>
    <w:p>
      <w:pPr>
        <w:pStyle w:val="ListParagraph"/>
        <w:numPr>
          <w:ilvl w:val="0"/>
          <w:numId w:val="3"/>
        </w:numPr>
        <w:rPr>
          <w:szCs w:val="22"/>
          <w:lang w:val="en-AU"/>
        </w:rPr>
      </w:pPr>
      <w:r>
        <w:rPr>
          <w:rFonts w:asciiTheme="minorHAnsi" w:hAnsiTheme="minorHAnsi"/>
          <w:bCs/>
          <w:szCs w:val="22"/>
        </w:rPr>
        <w:t>85+: 85 years and over</w:t>
      </w:r>
    </w:p>
    <w:p>
      <w:pPr>
        <w:pStyle w:val="Ttulo2"/>
        <w:rPr>
          <w:rStyle w:val="Strong"/>
          <w:rFonts w:ascii="Calibri" w:hAnsi="Calibri" w:asciiTheme="minorHAnsi" w:hAnsiTheme="minorHAnsi"/>
          <w:b/>
          <w:b/>
          <w:bCs/>
        </w:rPr>
      </w:pPr>
      <w:bookmarkStart w:id="23" w:name="_Toc413853467"/>
      <w:bookmarkStart w:id="24" w:name="_Toc401657540"/>
      <w:bookmarkStart w:id="25" w:name="_Toc489949675"/>
      <w:bookmarkStart w:id="26" w:name="_Toc413853469"/>
      <w:bookmarkStart w:id="27" w:name="_Toc523980348"/>
      <w:bookmarkStart w:id="28" w:name="_Toc489949678"/>
      <w:bookmarkStart w:id="29" w:name="_Toc464055095"/>
      <w:bookmarkStart w:id="30" w:name="_Toc413853468"/>
      <w:bookmarkEnd w:id="23"/>
      <w:bookmarkEnd w:id="24"/>
      <w:bookmarkEnd w:id="25"/>
      <w:bookmarkEnd w:id="26"/>
      <w:r>
        <w:rPr>
          <w:rStyle w:val="Strong"/>
          <w:rFonts w:asciiTheme="minorHAnsi" w:hAnsiTheme="minorHAnsi"/>
          <w:b/>
          <w:bCs/>
        </w:rPr>
        <w:t>Sex</w:t>
      </w:r>
      <w:bookmarkEnd w:id="27"/>
      <w:bookmarkEnd w:id="28"/>
      <w:bookmarkEnd w:id="29"/>
      <w:bookmarkEnd w:id="30"/>
    </w:p>
    <w:p>
      <w:pPr>
        <w:pStyle w:val="Normal"/>
        <w:rPr>
          <w:rFonts w:ascii="Calibri" w:hAnsi="Calibri" w:asciiTheme="minorHAnsi" w:hAnsiTheme="minorHAnsi"/>
          <w:bCs/>
          <w:szCs w:val="22"/>
        </w:rPr>
      </w:pPr>
      <w:r>
        <w:rPr>
          <w:rFonts w:asciiTheme="minorHAnsi" w:hAnsiTheme="minorHAnsi"/>
          <w:bCs/>
          <w:szCs w:val="22"/>
        </w:rPr>
        <w:t xml:space="preserve">These data represent the sex of the individual at the time of notification. </w:t>
      </w:r>
    </w:p>
    <w:p>
      <w:pPr>
        <w:pStyle w:val="Normal"/>
        <w:rPr>
          <w:rFonts w:ascii="Calibri" w:hAnsi="Calibri" w:asciiTheme="minorHAnsi" w:hAnsiTheme="minorHAnsi"/>
          <w:bCs/>
          <w:szCs w:val="22"/>
        </w:rPr>
      </w:pPr>
      <w:r>
        <w:rPr>
          <w:rFonts w:asciiTheme="minorHAnsi" w:hAnsiTheme="minorHAnsi"/>
          <w:bCs/>
          <w:szCs w:val="22"/>
        </w:rPr>
      </w:r>
    </w:p>
    <w:p>
      <w:pPr>
        <w:pStyle w:val="Normal"/>
        <w:rPr>
          <w:rFonts w:ascii="Calibri" w:hAnsi="Calibri" w:asciiTheme="minorHAnsi" w:hAnsiTheme="minorHAnsi"/>
          <w:bCs/>
          <w:szCs w:val="22"/>
          <w:u w:val="single"/>
        </w:rPr>
      </w:pPr>
      <w:r>
        <w:rPr>
          <w:rFonts w:asciiTheme="minorHAnsi" w:hAnsiTheme="minorHAnsi"/>
          <w:bCs/>
          <w:szCs w:val="22"/>
          <w:u w:val="single"/>
        </w:rPr>
        <w:t>Data domain:</w:t>
      </w:r>
    </w:p>
    <w:p>
      <w:pPr>
        <w:pStyle w:val="Normal"/>
        <w:numPr>
          <w:ilvl w:val="0"/>
          <w:numId w:val="1"/>
        </w:numPr>
        <w:spacing w:before="0" w:after="120"/>
        <w:contextualSpacing/>
        <w:rPr>
          <w:rFonts w:ascii="Calibri" w:hAnsi="Calibri" w:asciiTheme="minorHAnsi" w:hAnsiTheme="minorHAnsi"/>
          <w:szCs w:val="22"/>
          <w:lang w:val="en-AU"/>
        </w:rPr>
      </w:pPr>
      <w:r>
        <w:rPr>
          <w:rFonts w:asciiTheme="minorHAnsi" w:hAnsiTheme="minorHAnsi"/>
          <w:szCs w:val="22"/>
          <w:lang w:val="en-AU"/>
        </w:rPr>
        <w:t>Male</w:t>
      </w:r>
    </w:p>
    <w:p>
      <w:pPr>
        <w:pStyle w:val="Normal"/>
        <w:numPr>
          <w:ilvl w:val="0"/>
          <w:numId w:val="1"/>
        </w:numPr>
        <w:spacing w:before="0" w:after="120"/>
        <w:contextualSpacing/>
        <w:rPr>
          <w:rFonts w:ascii="Calibri" w:hAnsi="Calibri" w:asciiTheme="minorHAnsi" w:hAnsiTheme="minorHAnsi"/>
          <w:szCs w:val="22"/>
          <w:lang w:val="en-AU"/>
        </w:rPr>
      </w:pPr>
      <w:r>
        <w:rPr>
          <w:rFonts w:asciiTheme="minorHAnsi" w:hAnsiTheme="minorHAnsi"/>
          <w:szCs w:val="22"/>
          <w:lang w:val="en-AU"/>
        </w:rPr>
        <w:t>Female</w:t>
      </w:r>
    </w:p>
    <w:p>
      <w:pPr>
        <w:pStyle w:val="Normal"/>
        <w:numPr>
          <w:ilvl w:val="0"/>
          <w:numId w:val="1"/>
        </w:numPr>
        <w:spacing w:before="0" w:after="120"/>
        <w:contextualSpacing/>
        <w:rPr>
          <w:rFonts w:ascii="Calibri" w:hAnsi="Calibri" w:asciiTheme="minorHAnsi" w:hAnsiTheme="minorHAnsi"/>
          <w:szCs w:val="22"/>
          <w:lang w:val="en-AU"/>
        </w:rPr>
      </w:pPr>
      <w:r>
        <w:rPr>
          <w:rFonts w:asciiTheme="minorHAnsi" w:hAnsiTheme="minorHAnsi"/>
          <w:szCs w:val="22"/>
          <w:lang w:val="en-AU"/>
        </w:rPr>
        <w:t>X</w:t>
      </w:r>
    </w:p>
    <w:p>
      <w:pPr>
        <w:pStyle w:val="Normal"/>
        <w:numPr>
          <w:ilvl w:val="0"/>
          <w:numId w:val="1"/>
        </w:numPr>
        <w:spacing w:before="0" w:after="120"/>
        <w:contextualSpacing/>
        <w:rPr>
          <w:rFonts w:ascii="Calibri" w:hAnsi="Calibri" w:asciiTheme="minorHAnsi" w:hAnsiTheme="minorHAnsi"/>
          <w:szCs w:val="22"/>
          <w:lang w:val="en-AU"/>
        </w:rPr>
      </w:pPr>
      <w:r>
        <w:rPr>
          <w:rFonts w:asciiTheme="minorHAnsi" w:hAnsiTheme="minorHAnsi"/>
          <w:szCs w:val="22"/>
          <w:lang w:val="en-AU"/>
        </w:rPr>
        <w:t>Unknown.</w:t>
      </w:r>
    </w:p>
    <w:p>
      <w:pPr>
        <w:pStyle w:val="Normal"/>
        <w:spacing w:before="0" w:after="120"/>
        <w:contextualSpacing/>
        <w:rPr>
          <w:rFonts w:ascii="Calibri" w:hAnsi="Calibri" w:asciiTheme="minorHAnsi" w:hAnsiTheme="minorHAnsi"/>
          <w:szCs w:val="22"/>
          <w:lang w:val="en-AU"/>
        </w:rPr>
      </w:pPr>
      <w:r>
        <w:rPr>
          <w:rFonts w:asciiTheme="minorHAnsi" w:hAnsiTheme="minorHAnsi"/>
          <w:szCs w:val="22"/>
          <w:lang w:val="en-AU"/>
        </w:rPr>
      </w:r>
    </w:p>
    <w:p>
      <w:pPr>
        <w:pStyle w:val="Normal"/>
        <w:spacing w:before="0" w:after="120"/>
        <w:rPr>
          <w:szCs w:val="22"/>
          <w:u w:val="single"/>
          <w:lang w:val="en-AU"/>
        </w:rPr>
      </w:pPr>
      <w:r>
        <w:rPr>
          <w:szCs w:val="22"/>
          <w:u w:val="single"/>
          <w:lang w:val="en-AU"/>
        </w:rPr>
        <w:t>Notes on interpretation:</w:t>
      </w:r>
    </w:p>
    <w:p>
      <w:pPr>
        <w:pStyle w:val="Normal"/>
        <w:numPr>
          <w:ilvl w:val="0"/>
          <w:numId w:val="1"/>
        </w:numPr>
        <w:spacing w:before="0" w:after="120"/>
        <w:rPr>
          <w:szCs w:val="22"/>
          <w:lang w:val="en-AU"/>
        </w:rPr>
      </w:pPr>
      <w:r>
        <w:rPr>
          <w:szCs w:val="22"/>
          <w:lang w:val="en-AU"/>
        </w:rPr>
        <w:t>In accordance with the Australian Government Guidelines on Recognition of Sex and Gender ‘X’ can equal indeterminate, intersex or unspecified.</w:t>
      </w:r>
    </w:p>
    <w:p>
      <w:pPr>
        <w:pStyle w:val="Normal"/>
        <w:numPr>
          <w:ilvl w:val="0"/>
          <w:numId w:val="1"/>
        </w:numPr>
        <w:spacing w:before="0" w:after="120"/>
        <w:rPr>
          <w:szCs w:val="22"/>
          <w:lang w:val="en-AU"/>
        </w:rPr>
      </w:pPr>
      <w:r>
        <w:rPr>
          <w:szCs w:val="22"/>
          <w:lang w:val="en-AU"/>
        </w:rPr>
        <w:t>‘</w:t>
      </w:r>
      <w:r>
        <w:rPr>
          <w:szCs w:val="22"/>
          <w:lang w:val="en-AU"/>
        </w:rPr>
        <w:t>Unknown’ is reserved for where no information on sex is provided.</w:t>
      </w:r>
    </w:p>
    <w:p>
      <w:pPr>
        <w:pStyle w:val="Ttulo2"/>
        <w:rPr>
          <w:rStyle w:val="Strong"/>
          <w:rFonts w:ascii="Calibri" w:hAnsi="Calibri" w:asciiTheme="minorHAnsi" w:hAnsiTheme="minorHAnsi"/>
          <w:b/>
          <w:b/>
          <w:bCs/>
        </w:rPr>
      </w:pPr>
      <w:bookmarkStart w:id="31" w:name="_Toc413853469"/>
      <w:bookmarkStart w:id="32" w:name="_Toc523980349"/>
      <w:bookmarkEnd w:id="31"/>
      <w:r>
        <w:rPr>
          <w:rStyle w:val="Strong"/>
          <w:rFonts w:asciiTheme="minorHAnsi" w:hAnsiTheme="minorHAnsi"/>
          <w:b/>
          <w:bCs/>
        </w:rPr>
        <w:t>Indigenous status</w:t>
      </w:r>
      <w:bookmarkEnd w:id="32"/>
    </w:p>
    <w:p>
      <w:pPr>
        <w:pStyle w:val="Normal"/>
        <w:rPr>
          <w:rFonts w:ascii="Calibri" w:hAnsi="Calibri" w:asciiTheme="minorHAnsi" w:hAnsiTheme="minorHAnsi"/>
          <w:szCs w:val="22"/>
          <w:lang w:val="en-AU"/>
        </w:rPr>
      </w:pPr>
      <w:r>
        <w:rPr>
          <w:rFonts w:asciiTheme="minorHAnsi" w:hAnsiTheme="minorHAnsi"/>
          <w:szCs w:val="22"/>
          <w:lang w:val="en-AU"/>
        </w:rPr>
        <w:t>The determination of the Indigenous status is by descent, self-identification and community acceptance. Only the Indigenous status text descriptor field has been provided:</w:t>
      </w:r>
    </w:p>
    <w:p>
      <w:pPr>
        <w:pStyle w:val="Normal"/>
        <w:rPr>
          <w:rFonts w:ascii="Calibri" w:hAnsi="Calibri" w:asciiTheme="minorHAnsi" w:hAnsiTheme="minorHAnsi"/>
          <w:szCs w:val="22"/>
          <w:lang w:val="en-AU"/>
        </w:rPr>
      </w:pPr>
      <w:r>
        <w:rPr>
          <w:rFonts w:asciiTheme="minorHAnsi" w:hAnsiTheme="minorHAnsi"/>
          <w:szCs w:val="22"/>
          <w:lang w:val="en-AU"/>
        </w:rPr>
      </w:r>
    </w:p>
    <w:p>
      <w:pPr>
        <w:pStyle w:val="Normal"/>
        <w:rPr>
          <w:rFonts w:ascii="Calibri" w:hAnsi="Calibri" w:asciiTheme="minorHAnsi" w:hAnsiTheme="minorHAnsi"/>
          <w:bCs/>
          <w:szCs w:val="22"/>
          <w:u w:val="single"/>
        </w:rPr>
      </w:pPr>
      <w:r>
        <w:rPr>
          <w:rFonts w:asciiTheme="minorHAnsi" w:hAnsiTheme="minorHAnsi"/>
          <w:bCs/>
          <w:szCs w:val="22"/>
          <w:u w:val="single"/>
        </w:rPr>
        <w:t>Data domain:</w:t>
      </w:r>
    </w:p>
    <w:p>
      <w:pPr>
        <w:pStyle w:val="ListParagraph"/>
        <w:numPr>
          <w:ilvl w:val="0"/>
          <w:numId w:val="2"/>
        </w:numPr>
        <w:spacing w:before="60" w:after="0"/>
        <w:contextualSpacing/>
        <w:rPr>
          <w:rFonts w:ascii="Calibri" w:hAnsi="Calibri" w:asciiTheme="minorHAnsi" w:hAnsiTheme="minorHAnsi"/>
          <w:szCs w:val="22"/>
          <w:lang w:val="en-AU"/>
        </w:rPr>
      </w:pPr>
      <w:r>
        <w:rPr>
          <w:rFonts w:asciiTheme="minorHAnsi" w:hAnsiTheme="minorHAnsi"/>
          <w:szCs w:val="22"/>
          <w:lang w:val="en-AU"/>
        </w:rPr>
        <w:t>Indigenous (Aboriginal and/or Torres Strait Islander origin)</w:t>
      </w:r>
    </w:p>
    <w:p>
      <w:pPr>
        <w:pStyle w:val="ListParagraph"/>
        <w:numPr>
          <w:ilvl w:val="0"/>
          <w:numId w:val="2"/>
        </w:numPr>
        <w:spacing w:before="60" w:after="0"/>
        <w:contextualSpacing/>
        <w:rPr>
          <w:rFonts w:ascii="Calibri" w:hAnsi="Calibri" w:asciiTheme="minorHAnsi" w:hAnsiTheme="minorHAnsi"/>
          <w:szCs w:val="22"/>
          <w:lang w:val="en-AU"/>
        </w:rPr>
      </w:pPr>
      <w:r>
        <w:rPr>
          <w:rFonts w:asciiTheme="minorHAnsi" w:hAnsiTheme="minorHAnsi"/>
          <w:szCs w:val="22"/>
          <w:lang w:val="en-AU"/>
        </w:rPr>
        <w:t>Non-Indigenous (Not of Aboriginal or Torres Strait Islander origin)</w:t>
      </w:r>
    </w:p>
    <w:p>
      <w:pPr>
        <w:pStyle w:val="ListParagraph"/>
        <w:numPr>
          <w:ilvl w:val="0"/>
          <w:numId w:val="2"/>
        </w:numPr>
        <w:spacing w:before="60" w:after="0"/>
        <w:contextualSpacing/>
        <w:rPr>
          <w:rFonts w:ascii="Calibri" w:hAnsi="Calibri" w:asciiTheme="minorHAnsi" w:hAnsiTheme="minorHAnsi"/>
          <w:szCs w:val="22"/>
          <w:lang w:val="en-AU"/>
        </w:rPr>
      </w:pPr>
      <w:r>
        <w:rPr>
          <w:rFonts w:asciiTheme="minorHAnsi" w:hAnsiTheme="minorHAnsi"/>
          <w:szCs w:val="22"/>
          <w:lang w:val="en-AU"/>
        </w:rPr>
        <w:t>Unknown (Not stated, unknown or blank)</w:t>
      </w:r>
    </w:p>
    <w:p>
      <w:pPr>
        <w:pStyle w:val="ListParagraph"/>
        <w:numPr>
          <w:ilvl w:val="0"/>
          <w:numId w:val="4"/>
        </w:numPr>
        <w:rPr>
          <w:szCs w:val="22"/>
          <w:lang w:val="en-AU"/>
        </w:rPr>
      </w:pPr>
      <w:r>
        <w:rPr>
          <w:szCs w:val="22"/>
          <w:lang w:val="en-AU"/>
        </w:rPr>
        <w:t>Not available</w:t>
      </w:r>
    </w:p>
    <w:p>
      <w:pPr>
        <w:pStyle w:val="ListParagraph"/>
        <w:ind w:left="360" w:hanging="0"/>
        <w:rPr>
          <w:szCs w:val="22"/>
          <w:lang w:val="en-AU"/>
        </w:rPr>
      </w:pPr>
      <w:r>
        <w:rPr>
          <w:szCs w:val="22"/>
          <w:lang w:val="en-AU"/>
        </w:rPr>
      </w:r>
    </w:p>
    <w:p>
      <w:pPr>
        <w:pStyle w:val="Normal"/>
        <w:spacing w:before="0" w:after="120"/>
        <w:rPr>
          <w:szCs w:val="22"/>
          <w:u w:val="single"/>
          <w:lang w:val="en-AU"/>
        </w:rPr>
      </w:pPr>
      <w:r>
        <w:rPr>
          <w:szCs w:val="22"/>
          <w:u w:val="single"/>
          <w:lang w:val="en-AU"/>
        </w:rPr>
        <w:t>Notes on interpretation:</w:t>
      </w:r>
    </w:p>
    <w:p>
      <w:pPr>
        <w:pStyle w:val="Normal"/>
        <w:numPr>
          <w:ilvl w:val="0"/>
          <w:numId w:val="1"/>
        </w:numPr>
        <w:spacing w:before="0" w:after="120"/>
        <w:rPr>
          <w:szCs w:val="22"/>
          <w:lang w:val="en-AU"/>
        </w:rPr>
      </w:pPr>
      <w:r>
        <w:rPr>
          <w:szCs w:val="22"/>
          <w:lang w:val="en-AU"/>
        </w:rPr>
        <w:t xml:space="preserve">Indigenous status is usually obtained from notification by a medical practitioner, but may also be determined during case follow-up or from cross-reference to other sources. Completeness varies by disease and by state and territory. </w:t>
      </w:r>
    </w:p>
    <w:p>
      <w:pPr>
        <w:pStyle w:val="Normal"/>
        <w:numPr>
          <w:ilvl w:val="0"/>
          <w:numId w:val="1"/>
        </w:numPr>
        <w:spacing w:before="0" w:after="120"/>
        <w:rPr>
          <w:szCs w:val="22"/>
          <w:lang w:val="en-AU"/>
        </w:rPr>
      </w:pPr>
      <w:r>
        <w:rPr>
          <w:szCs w:val="22"/>
          <w:lang w:val="en-AU"/>
        </w:rPr>
        <w:t>This reflects differences in notification requirements (i.e. depending on the jurisdiction, some diseases are primarily or completely notified by pathology laboratories rather than clinicians) and case follow up practices across jurisdictions.</w:t>
      </w:r>
    </w:p>
    <w:p>
      <w:pPr>
        <w:pStyle w:val="Normal"/>
        <w:numPr>
          <w:ilvl w:val="0"/>
          <w:numId w:val="1"/>
        </w:numPr>
        <w:spacing w:before="0" w:after="120"/>
        <w:rPr>
          <w:szCs w:val="22"/>
          <w:lang w:val="en-AU"/>
        </w:rPr>
      </w:pPr>
      <w:r>
        <w:rPr>
          <w:szCs w:val="22"/>
          <w:lang w:val="en-AU"/>
        </w:rPr>
        <w:t>Influenza notification data by Indigenous status should be interpreted with caution where completeness is low. Data on Indigenous status are included for Queensland, not included for New South Wales and South Australia and for the remaining jurisdictions, data on Indigenous status are only included where the annual completeness of this field, by jurisdiction, is above 50%, detailed in the table below:</w:t>
      </w:r>
    </w:p>
    <w:p>
      <w:pPr>
        <w:pStyle w:val="Normal"/>
        <w:spacing w:before="0" w:after="120"/>
        <w:ind w:left="709" w:hanging="0"/>
        <w:rPr>
          <w:b/>
          <w:b/>
          <w:szCs w:val="22"/>
          <w:lang w:val="en-AU"/>
        </w:rPr>
      </w:pPr>
      <w:bookmarkStart w:id="33" w:name="_Ref424025129"/>
      <w:r>
        <w:rPr>
          <w:b/>
          <w:szCs w:val="22"/>
          <w:lang w:val="en-AU"/>
        </w:rPr>
        <w:t xml:space="preserve">Table </w:t>
      </w:r>
      <w:r>
        <w:rPr>
          <w:b/>
          <w:szCs w:val="22"/>
          <w:lang w:val="en-AU"/>
        </w:rPr>
        <w:fldChar w:fldCharType="begin"/>
      </w:r>
      <w:r>
        <w:rPr>
          <w:b/>
          <w:szCs w:val="22"/>
          <w:lang w:val="en-AU"/>
        </w:rPr>
        <w:instrText> SEQ Tabla \* ARABIC </w:instrText>
      </w:r>
      <w:r>
        <w:rPr>
          <w:b/>
          <w:szCs w:val="22"/>
          <w:lang w:val="en-AU"/>
        </w:rPr>
        <w:fldChar w:fldCharType="separate"/>
      </w:r>
      <w:r>
        <w:rPr>
          <w:b/>
          <w:szCs w:val="22"/>
          <w:lang w:val="en-AU"/>
        </w:rPr>
        <w:t>2</w:t>
      </w:r>
      <w:r>
        <w:rPr>
          <w:b/>
          <w:szCs w:val="22"/>
          <w:lang w:val="en-AU"/>
        </w:rPr>
        <w:fldChar w:fldCharType="end"/>
      </w:r>
      <w:bookmarkEnd w:id="33"/>
      <w:r>
        <w:rPr>
          <w:b/>
          <w:szCs w:val="22"/>
          <w:lang w:val="en-AU"/>
        </w:rPr>
        <w:t>. Indigenous status completeness* of Influenza 2008-2017</w:t>
      </w:r>
    </w:p>
    <w:tbl>
      <w:tblPr>
        <w:tblStyle w:val="TableGrid"/>
        <w:tblW w:w="8140" w:type="dxa"/>
        <w:jc w:val="left"/>
        <w:tblInd w:w="817" w:type="dxa"/>
        <w:tblCellMar>
          <w:top w:w="0" w:type="dxa"/>
          <w:left w:w="108" w:type="dxa"/>
          <w:bottom w:w="0" w:type="dxa"/>
          <w:right w:w="108" w:type="dxa"/>
        </w:tblCellMar>
        <w:tblLook w:val="04a0" w:noHBand="0" w:noVBand="1" w:firstColumn="1" w:lastRow="0" w:lastColumn="0" w:firstRow="1"/>
      </w:tblPr>
      <w:tblGrid>
        <w:gridCol w:w="1128"/>
        <w:gridCol w:w="902"/>
        <w:gridCol w:w="1137"/>
        <w:gridCol w:w="1117"/>
        <w:gridCol w:w="901"/>
        <w:gridCol w:w="902"/>
        <w:gridCol w:w="1036"/>
        <w:gridCol w:w="1016"/>
      </w:tblGrid>
      <w:tr>
        <w:trPr/>
        <w:tc>
          <w:tcPr>
            <w:tcW w:w="1128" w:type="dxa"/>
            <w:tcBorders/>
            <w:shd w:color="auto" w:fill="000000" w:themeFill="text1" w:val="clear"/>
          </w:tcPr>
          <w:p>
            <w:pPr>
              <w:pStyle w:val="Normal"/>
              <w:rPr>
                <w:rFonts w:ascii="Arial" w:hAnsi="Arial" w:cs="Arial"/>
                <w:b/>
                <w:b/>
                <w:color w:val="FFFFFF" w:themeColor="background1"/>
                <w:sz w:val="18"/>
              </w:rPr>
            </w:pPr>
            <w:r>
              <w:rPr>
                <w:rFonts w:cs="Arial" w:ascii="Arial" w:hAnsi="Arial"/>
                <w:b/>
                <w:color w:val="FFFFFF" w:themeColor="background1"/>
                <w:sz w:val="18"/>
                <w:lang w:val="en-US" w:eastAsia="en-US"/>
              </w:rPr>
              <w:t>Year</w:t>
            </w:r>
          </w:p>
        </w:tc>
        <w:tc>
          <w:tcPr>
            <w:tcW w:w="902" w:type="dxa"/>
            <w:tcBorders/>
            <w:shd w:color="auto" w:fill="000000" w:themeFill="text1" w:val="clear"/>
          </w:tcPr>
          <w:p>
            <w:pPr>
              <w:pStyle w:val="Normal"/>
              <w:jc w:val="center"/>
              <w:rPr>
                <w:rFonts w:ascii="Arial" w:hAnsi="Arial" w:cs="Arial"/>
                <w:b/>
                <w:b/>
                <w:color w:val="FFFFFF" w:themeColor="background1"/>
                <w:sz w:val="18"/>
              </w:rPr>
            </w:pPr>
            <w:r>
              <w:rPr>
                <w:rFonts w:cs="Arial" w:ascii="Arial" w:hAnsi="Arial"/>
                <w:b/>
                <w:color w:val="FFFFFF" w:themeColor="background1"/>
                <w:sz w:val="18"/>
                <w:lang w:val="en-US" w:eastAsia="en-US"/>
              </w:rPr>
              <w:t>NSW</w:t>
            </w:r>
          </w:p>
        </w:tc>
        <w:tc>
          <w:tcPr>
            <w:tcW w:w="1137" w:type="dxa"/>
            <w:tcBorders/>
            <w:shd w:color="auto" w:fill="000000" w:themeFill="text1" w:val="clear"/>
          </w:tcPr>
          <w:p>
            <w:pPr>
              <w:pStyle w:val="Normal"/>
              <w:jc w:val="center"/>
              <w:rPr>
                <w:rFonts w:ascii="Arial" w:hAnsi="Arial" w:cs="Arial"/>
                <w:b/>
                <w:b/>
                <w:color w:val="FFFFFF" w:themeColor="background1"/>
                <w:sz w:val="18"/>
              </w:rPr>
            </w:pPr>
            <w:r>
              <w:rPr>
                <w:rFonts w:cs="Arial" w:ascii="Arial" w:hAnsi="Arial"/>
                <w:b/>
                <w:color w:val="FFFFFF" w:themeColor="background1"/>
                <w:sz w:val="18"/>
                <w:lang w:val="en-US" w:eastAsia="en-US"/>
              </w:rPr>
              <w:t>NT</w:t>
            </w:r>
          </w:p>
        </w:tc>
        <w:tc>
          <w:tcPr>
            <w:tcW w:w="1117" w:type="dxa"/>
            <w:tcBorders/>
            <w:shd w:color="auto" w:fill="000000" w:themeFill="text1" w:val="clear"/>
          </w:tcPr>
          <w:p>
            <w:pPr>
              <w:pStyle w:val="Normal"/>
              <w:jc w:val="center"/>
              <w:rPr>
                <w:rFonts w:ascii="Arial" w:hAnsi="Arial" w:cs="Arial"/>
                <w:b/>
                <w:b/>
                <w:color w:val="FFFFFF" w:themeColor="background1"/>
                <w:sz w:val="18"/>
              </w:rPr>
            </w:pPr>
            <w:r>
              <w:rPr>
                <w:rFonts w:cs="Arial" w:ascii="Arial" w:hAnsi="Arial"/>
                <w:b/>
                <w:color w:val="FFFFFF" w:themeColor="background1"/>
                <w:sz w:val="18"/>
                <w:lang w:val="en-US" w:eastAsia="en-US"/>
              </w:rPr>
              <w:t>Qld</w:t>
            </w:r>
          </w:p>
        </w:tc>
        <w:tc>
          <w:tcPr>
            <w:tcW w:w="901" w:type="dxa"/>
            <w:tcBorders/>
            <w:shd w:color="auto" w:fill="000000" w:themeFill="text1" w:val="clear"/>
          </w:tcPr>
          <w:p>
            <w:pPr>
              <w:pStyle w:val="Normal"/>
              <w:jc w:val="center"/>
              <w:rPr>
                <w:rFonts w:ascii="Arial" w:hAnsi="Arial" w:cs="Arial"/>
                <w:b/>
                <w:b/>
                <w:color w:val="FFFFFF" w:themeColor="background1"/>
                <w:sz w:val="18"/>
              </w:rPr>
            </w:pPr>
            <w:r>
              <w:rPr>
                <w:rFonts w:cs="Arial" w:ascii="Arial" w:hAnsi="Arial"/>
                <w:b/>
                <w:color w:val="FFFFFF" w:themeColor="background1"/>
                <w:sz w:val="18"/>
                <w:lang w:val="en-US" w:eastAsia="en-US"/>
              </w:rPr>
              <w:t>SA</w:t>
            </w:r>
          </w:p>
        </w:tc>
        <w:tc>
          <w:tcPr>
            <w:tcW w:w="902" w:type="dxa"/>
            <w:tcBorders/>
            <w:shd w:color="auto" w:fill="000000" w:themeFill="text1" w:val="clear"/>
          </w:tcPr>
          <w:p>
            <w:pPr>
              <w:pStyle w:val="Normal"/>
              <w:jc w:val="center"/>
              <w:rPr>
                <w:rFonts w:ascii="Arial" w:hAnsi="Arial" w:cs="Arial"/>
                <w:b/>
                <w:b/>
                <w:color w:val="FFFFFF" w:themeColor="background1"/>
                <w:sz w:val="18"/>
              </w:rPr>
            </w:pPr>
            <w:r>
              <w:rPr>
                <w:rFonts w:cs="Arial" w:ascii="Arial" w:hAnsi="Arial"/>
                <w:b/>
                <w:color w:val="FFFFFF" w:themeColor="background1"/>
                <w:sz w:val="18"/>
                <w:lang w:val="en-US" w:eastAsia="en-US"/>
              </w:rPr>
              <w:t>Tas</w:t>
            </w:r>
          </w:p>
        </w:tc>
        <w:tc>
          <w:tcPr>
            <w:tcW w:w="1036" w:type="dxa"/>
            <w:tcBorders/>
            <w:shd w:color="auto" w:fill="000000" w:themeFill="text1" w:val="clear"/>
          </w:tcPr>
          <w:p>
            <w:pPr>
              <w:pStyle w:val="Normal"/>
              <w:jc w:val="center"/>
              <w:rPr>
                <w:rFonts w:ascii="Arial" w:hAnsi="Arial" w:cs="Arial"/>
                <w:b/>
                <w:b/>
                <w:color w:val="FFFFFF" w:themeColor="background1"/>
                <w:sz w:val="18"/>
              </w:rPr>
            </w:pPr>
            <w:r>
              <w:rPr>
                <w:rFonts w:cs="Arial" w:ascii="Arial" w:hAnsi="Arial"/>
                <w:b/>
                <w:color w:val="FFFFFF" w:themeColor="background1"/>
                <w:sz w:val="18"/>
                <w:lang w:val="en-US" w:eastAsia="en-US"/>
              </w:rPr>
              <w:t>Vic</w:t>
            </w:r>
          </w:p>
        </w:tc>
        <w:tc>
          <w:tcPr>
            <w:tcW w:w="1016" w:type="dxa"/>
            <w:tcBorders/>
            <w:shd w:color="auto" w:fill="000000" w:themeFill="text1" w:val="clear"/>
          </w:tcPr>
          <w:p>
            <w:pPr>
              <w:pStyle w:val="Normal"/>
              <w:jc w:val="center"/>
              <w:rPr>
                <w:rFonts w:ascii="Arial" w:hAnsi="Arial" w:cs="Arial"/>
                <w:b/>
                <w:b/>
                <w:color w:val="FFFFFF" w:themeColor="background1"/>
                <w:sz w:val="18"/>
              </w:rPr>
            </w:pPr>
            <w:r>
              <w:rPr>
                <w:rFonts w:cs="Arial" w:ascii="Arial" w:hAnsi="Arial"/>
                <w:b/>
                <w:color w:val="FFFFFF" w:themeColor="background1"/>
                <w:sz w:val="18"/>
                <w:lang w:val="en-US" w:eastAsia="en-US"/>
              </w:rPr>
              <w:t>WA</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2008</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98%</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51%</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77%</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2009</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94%</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61%</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95%</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2010</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97%</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56%</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90%</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2011</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99%</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54%</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93%</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2012</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98%</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52%</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94%</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2013</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98%</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48%</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96%</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2014</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100%</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53%</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93%</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2015</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98%</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55%</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94%</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2016</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97%</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55%</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94%</w:t>
            </w:r>
          </w:p>
        </w:tc>
      </w:tr>
      <w:tr>
        <w:trPr/>
        <w:tc>
          <w:tcPr>
            <w:tcW w:w="1128" w:type="dxa"/>
            <w:tcBorders/>
            <w:vAlign w:val="center"/>
          </w:tcPr>
          <w:p>
            <w:pPr>
              <w:pStyle w:val="Normal"/>
              <w:jc w:val="center"/>
              <w:rPr>
                <w:rFonts w:ascii="Arial" w:hAnsi="Arial" w:cs="Arial"/>
                <w:sz w:val="18"/>
                <w:szCs w:val="20"/>
              </w:rPr>
            </w:pPr>
            <w:r>
              <w:rPr>
                <w:rFonts w:cs="Arial" w:ascii="Arial" w:hAnsi="Arial"/>
                <w:sz w:val="18"/>
                <w:szCs w:val="20"/>
                <w:lang w:val="en-US" w:eastAsia="en-US"/>
              </w:rPr>
              <w:t>2017</w:t>
            </w:r>
          </w:p>
        </w:tc>
        <w:tc>
          <w:tcPr>
            <w:tcW w:w="902"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113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98%</w:t>
            </w:r>
          </w:p>
        </w:tc>
        <w:tc>
          <w:tcPr>
            <w:tcW w:w="1117"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54%</w:t>
            </w:r>
          </w:p>
        </w:tc>
        <w:tc>
          <w:tcPr>
            <w:tcW w:w="901" w:type="dxa"/>
            <w:tcBorders/>
            <w:shd w:color="auto" w:fill="auto" w:val="clear"/>
            <w:vAlign w:val="center"/>
          </w:tcPr>
          <w:p>
            <w:pPr>
              <w:pStyle w:val="Normal"/>
              <w:jc w:val="center"/>
              <w:rPr>
                <w:rFonts w:ascii="Arial" w:hAnsi="Arial" w:cs="Arial"/>
                <w:sz w:val="18"/>
                <w:szCs w:val="20"/>
              </w:rPr>
            </w:pPr>
            <w:r>
              <w:rPr>
                <w:rFonts w:cs="Arial" w:ascii="Arial" w:hAnsi="Arial"/>
                <w:sz w:val="18"/>
                <w:szCs w:val="20"/>
                <w:lang w:val="en-US" w:eastAsia="en-US"/>
              </w:rPr>
              <w:t>NA</w:t>
            </w:r>
          </w:p>
        </w:tc>
        <w:tc>
          <w:tcPr>
            <w:tcW w:w="902"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36" w:type="dxa"/>
            <w:tcBorders/>
            <w:shd w:color="auto" w:fill="auto" w:val="clear"/>
            <w:vAlign w:val="center"/>
          </w:tcPr>
          <w:p>
            <w:pPr>
              <w:pStyle w:val="Normal"/>
              <w:jc w:val="center"/>
              <w:rPr>
                <w:rFonts w:ascii="Arial" w:hAnsi="Arial" w:cs="Arial"/>
                <w:sz w:val="18"/>
                <w:szCs w:val="20"/>
              </w:rPr>
            </w:pPr>
            <w:r>
              <w:rPr>
                <w:rFonts w:eastAsia="Symbol" w:cs="Symbol" w:ascii="Symbol" w:hAnsi="Symbol"/>
                <w:sz w:val="18"/>
                <w:szCs w:val="20"/>
                <w:lang w:val="en-US" w:eastAsia="en-US"/>
              </w:rPr>
              <w:t></w:t>
            </w:r>
            <w:r>
              <w:rPr>
                <w:rFonts w:cs="Arial" w:ascii="Arial" w:hAnsi="Arial"/>
                <w:sz w:val="18"/>
                <w:szCs w:val="20"/>
                <w:lang w:val="en-US" w:eastAsia="en-US"/>
              </w:rPr>
              <w:t>50%</w:t>
            </w:r>
          </w:p>
        </w:tc>
        <w:tc>
          <w:tcPr>
            <w:tcW w:w="1016" w:type="dxa"/>
            <w:tcBorders/>
            <w:shd w:color="auto" w:fill="auto" w:val="clear"/>
            <w:vAlign w:val="center"/>
          </w:tcPr>
          <w:p>
            <w:pPr>
              <w:pStyle w:val="Normal"/>
              <w:jc w:val="center"/>
              <w:rPr>
                <w:rFonts w:ascii="Arial" w:hAnsi="Arial" w:cs="Arial"/>
                <w:sz w:val="18"/>
                <w:szCs w:val="20"/>
              </w:rPr>
            </w:pPr>
            <w:r>
              <w:rPr>
                <w:rFonts w:cs="Arial" w:ascii="Arial" w:hAnsi="Arial"/>
                <w:sz w:val="18"/>
                <w:lang w:val="en-US" w:eastAsia="en-US"/>
              </w:rPr>
              <w:t>94%</w:t>
            </w:r>
          </w:p>
        </w:tc>
      </w:tr>
    </w:tbl>
    <w:p>
      <w:pPr>
        <w:pStyle w:val="Normal"/>
        <w:ind w:firstLine="720"/>
        <w:rPr>
          <w:rFonts w:ascii="Arial" w:hAnsi="Arial" w:cs="Arial"/>
          <w:sz w:val="18"/>
          <w:szCs w:val="18"/>
        </w:rPr>
      </w:pPr>
      <w:r>
        <w:rPr>
          <w:rFonts w:cs="Arial" w:ascii="Arial" w:hAnsi="Arial"/>
          <w:sz w:val="18"/>
          <w:szCs w:val="18"/>
        </w:rPr>
        <w:t>* Complete = where values in Indigenous field are either Indigenous or Non-Indigenous.</w:t>
      </w:r>
    </w:p>
    <w:p>
      <w:pPr>
        <w:pStyle w:val="Normal"/>
        <w:ind w:firstLine="720"/>
        <w:rPr>
          <w:rFonts w:ascii="Arial" w:hAnsi="Arial" w:cs="Arial"/>
          <w:sz w:val="18"/>
          <w:szCs w:val="18"/>
        </w:rPr>
      </w:pPr>
      <w:r>
        <w:rPr>
          <w:rFonts w:cs="Arial" w:ascii="Arial" w:hAnsi="Arial"/>
          <w:sz w:val="18"/>
          <w:szCs w:val="18"/>
        </w:rPr>
        <w:t>NA = Not available.</w:t>
      </w:r>
    </w:p>
    <w:p>
      <w:pPr>
        <w:pStyle w:val="Normal"/>
        <w:numPr>
          <w:ilvl w:val="0"/>
          <w:numId w:val="1"/>
        </w:numPr>
        <w:spacing w:before="0" w:after="120"/>
        <w:rPr>
          <w:szCs w:val="22"/>
          <w:lang w:val="en-AU"/>
        </w:rPr>
      </w:pPr>
      <w:r>
        <w:rPr>
          <w:szCs w:val="22"/>
          <w:lang w:val="en-AU"/>
        </w:rPr>
        <w:t xml:space="preserve">The standard methodology used in the NNDSS annual report series when calculating notification rates by Indigenous status is to include states and territories where annual completeness of Indigenous status is more than 50%. Within these jurisdictions, where the Indigenous status of a notification was not completed, these notifications are counted as non-Indigenous in the analyses. Direct age standardised notifications are calculated using the method described by the Australian Institute of Health and Welfare (Available from </w:t>
      </w:r>
      <w:hyperlink r:id="rId5">
        <w:r>
          <w:rPr>
            <w:rStyle w:val="EnlacedeInternet"/>
            <w:szCs w:val="22"/>
            <w:lang w:val="en-AU"/>
          </w:rPr>
          <w:t>http://meteor.aihw.gov.au/content/index.phtml/itemId/327276</w:t>
        </w:r>
      </w:hyperlink>
      <w:r>
        <w:rPr>
          <w:szCs w:val="22"/>
          <w:lang w:val="en-AU"/>
        </w:rPr>
        <w:t xml:space="preserve">). </w:t>
      </w:r>
    </w:p>
    <w:p>
      <w:pPr>
        <w:pStyle w:val="Ttulo2"/>
        <w:rPr>
          <w:rFonts w:ascii="Calibri" w:hAnsi="Calibri" w:asciiTheme="minorHAnsi" w:hAnsiTheme="minorHAnsi"/>
          <w:lang w:val="en-AU"/>
        </w:rPr>
      </w:pPr>
      <w:bookmarkStart w:id="34" w:name="_Toc523980350"/>
      <w:r>
        <w:rPr>
          <w:rFonts w:asciiTheme="minorHAnsi" w:hAnsiTheme="minorHAnsi"/>
          <w:lang w:val="en-AU"/>
        </w:rPr>
        <w:t>Type/Subtype</w:t>
      </w:r>
      <w:bookmarkStart w:id="35" w:name="_GoBack"/>
      <w:bookmarkEnd w:id="34"/>
      <w:bookmarkEnd w:id="35"/>
    </w:p>
    <w:p>
      <w:pPr>
        <w:pStyle w:val="Normal"/>
        <w:spacing w:before="0" w:after="120"/>
        <w:contextualSpacing/>
        <w:rPr>
          <w:szCs w:val="22"/>
          <w:lang w:val="en-AU"/>
        </w:rPr>
      </w:pPr>
      <w:r>
        <w:rPr>
          <w:szCs w:val="22"/>
          <w:lang w:val="en-AU"/>
        </w:rPr>
        <w:t xml:space="preserve">The type or subtype of the influenza virus causing disease in the notified case. </w:t>
      </w:r>
    </w:p>
    <w:p>
      <w:pPr>
        <w:pStyle w:val="Normal"/>
        <w:spacing w:before="0" w:after="120"/>
        <w:contextualSpacing/>
        <w:rPr>
          <w:szCs w:val="22"/>
          <w:lang w:val="en-AU"/>
        </w:rPr>
      </w:pPr>
      <w:r>
        <w:rPr>
          <w:szCs w:val="22"/>
          <w:lang w:val="en-AU"/>
        </w:rPr>
      </w:r>
    </w:p>
    <w:p>
      <w:pPr>
        <w:pStyle w:val="Normal"/>
        <w:spacing w:before="0" w:after="120"/>
        <w:contextualSpacing/>
        <w:rPr>
          <w:rFonts w:ascii="Calibri" w:hAnsi="Calibri" w:asciiTheme="minorHAnsi" w:hAnsiTheme="minorHAnsi"/>
          <w:szCs w:val="22"/>
          <w:u w:val="single"/>
          <w:lang w:val="en-AU"/>
        </w:rPr>
      </w:pPr>
      <w:r>
        <w:rPr>
          <w:rFonts w:asciiTheme="minorHAnsi" w:hAnsiTheme="minorHAnsi"/>
          <w:szCs w:val="22"/>
          <w:u w:val="single"/>
          <w:lang w:val="en-AU"/>
        </w:rPr>
        <w:t>Data domain:</w:t>
      </w:r>
    </w:p>
    <w:p>
      <w:pPr>
        <w:pStyle w:val="ListParagraph"/>
        <w:numPr>
          <w:ilvl w:val="0"/>
          <w:numId w:val="1"/>
        </w:numPr>
        <w:rPr>
          <w:szCs w:val="22"/>
          <w:lang w:val="en-AU"/>
        </w:rPr>
      </w:pPr>
      <w:bookmarkStart w:id="36" w:name="_Toc384892549"/>
      <w:bookmarkStart w:id="37" w:name="_Toc379459692"/>
      <w:bookmarkStart w:id="38" w:name="_Toc393698614"/>
      <w:bookmarkStart w:id="39" w:name="_Toc384892561"/>
      <w:bookmarkStart w:id="40" w:name="_Toc379459704"/>
      <w:bookmarkEnd w:id="36"/>
      <w:bookmarkEnd w:id="37"/>
      <w:bookmarkEnd w:id="38"/>
      <w:bookmarkEnd w:id="39"/>
      <w:bookmarkEnd w:id="40"/>
      <w:r>
        <w:rPr>
          <w:szCs w:val="22"/>
          <w:lang w:val="en-AU"/>
        </w:rPr>
        <w:t>A(H3N2)</w:t>
      </w:r>
    </w:p>
    <w:p>
      <w:pPr>
        <w:pStyle w:val="ListParagraph"/>
        <w:numPr>
          <w:ilvl w:val="0"/>
          <w:numId w:val="1"/>
        </w:numPr>
        <w:rPr>
          <w:szCs w:val="22"/>
          <w:lang w:val="en-AU"/>
        </w:rPr>
      </w:pPr>
      <w:r>
        <w:rPr>
          <w:szCs w:val="22"/>
          <w:lang w:val="en-AU"/>
        </w:rPr>
        <w:t>A(H1N1)pmd09</w:t>
      </w:r>
    </w:p>
    <w:p>
      <w:pPr>
        <w:pStyle w:val="ListParagraph"/>
        <w:numPr>
          <w:ilvl w:val="0"/>
          <w:numId w:val="1"/>
        </w:numPr>
        <w:rPr>
          <w:szCs w:val="22"/>
          <w:lang w:val="en-AU"/>
        </w:rPr>
      </w:pPr>
      <w:r>
        <w:rPr>
          <w:szCs w:val="22"/>
          <w:lang w:val="en-AU"/>
        </w:rPr>
        <w:t>A(H1N1)</w:t>
      </w:r>
    </w:p>
    <w:p>
      <w:pPr>
        <w:pStyle w:val="ListParagraph"/>
        <w:numPr>
          <w:ilvl w:val="0"/>
          <w:numId w:val="1"/>
        </w:numPr>
        <w:rPr>
          <w:szCs w:val="22"/>
          <w:lang w:val="en-AU"/>
        </w:rPr>
      </w:pPr>
      <w:r>
        <w:rPr>
          <w:szCs w:val="22"/>
          <w:lang w:val="en-AU"/>
        </w:rPr>
        <w:t>A(unsubtyped)</w:t>
      </w:r>
    </w:p>
    <w:p>
      <w:pPr>
        <w:pStyle w:val="ListParagraph"/>
        <w:numPr>
          <w:ilvl w:val="0"/>
          <w:numId w:val="1"/>
        </w:numPr>
        <w:rPr>
          <w:szCs w:val="22"/>
          <w:lang w:val="en-AU"/>
        </w:rPr>
      </w:pPr>
      <w:r>
        <w:rPr>
          <w:szCs w:val="22"/>
          <w:lang w:val="en-AU"/>
        </w:rPr>
        <w:t>B</w:t>
      </w:r>
    </w:p>
    <w:p>
      <w:pPr>
        <w:pStyle w:val="ListParagraph"/>
        <w:numPr>
          <w:ilvl w:val="0"/>
          <w:numId w:val="1"/>
        </w:numPr>
        <w:rPr>
          <w:szCs w:val="22"/>
          <w:lang w:val="en-AU"/>
        </w:rPr>
      </w:pPr>
      <w:r>
        <w:rPr>
          <w:szCs w:val="22"/>
          <w:lang w:val="en-AU"/>
        </w:rPr>
        <w:t>C</w:t>
      </w:r>
    </w:p>
    <w:p>
      <w:pPr>
        <w:pStyle w:val="ListParagraph"/>
        <w:numPr>
          <w:ilvl w:val="0"/>
          <w:numId w:val="1"/>
        </w:numPr>
        <w:rPr>
          <w:szCs w:val="22"/>
          <w:lang w:val="en-AU"/>
        </w:rPr>
      </w:pPr>
      <w:r>
        <w:rPr>
          <w:szCs w:val="22"/>
          <w:lang w:val="en-AU"/>
        </w:rPr>
        <w:t>A and B</w:t>
      </w:r>
    </w:p>
    <w:p>
      <w:pPr>
        <w:pStyle w:val="ListParagraph"/>
        <w:numPr>
          <w:ilvl w:val="0"/>
          <w:numId w:val="1"/>
        </w:numPr>
        <w:rPr>
          <w:szCs w:val="22"/>
          <w:lang w:val="en-AU"/>
        </w:rPr>
      </w:pPr>
      <w:r>
        <w:rPr>
          <w:szCs w:val="22"/>
          <w:lang w:val="en-AU"/>
        </w:rPr>
        <w:t>Untyped</w:t>
      </w:r>
    </w:p>
    <w:p>
      <w:pPr>
        <w:pStyle w:val="Normal"/>
        <w:spacing w:before="0" w:after="120"/>
        <w:ind w:left="360" w:hanging="0"/>
        <w:rPr>
          <w:szCs w:val="22"/>
          <w:lang w:val="en-AU"/>
        </w:rPr>
      </w:pPr>
      <w:r>
        <w:rPr>
          <w:szCs w:val="22"/>
          <w:lang w:val="en-AU"/>
        </w:rPr>
      </w:r>
    </w:p>
    <w:p>
      <w:pPr>
        <w:pStyle w:val="Normal"/>
        <w:spacing w:before="0" w:after="120"/>
        <w:rPr>
          <w:szCs w:val="22"/>
          <w:u w:val="single"/>
          <w:lang w:val="en-AU"/>
        </w:rPr>
      </w:pPr>
      <w:r>
        <w:rPr>
          <w:szCs w:val="22"/>
          <w:u w:val="single"/>
          <w:lang w:val="en-AU"/>
        </w:rPr>
        <w:t>Notes on interpretation:</w:t>
      </w:r>
    </w:p>
    <w:p>
      <w:pPr>
        <w:pStyle w:val="Normal"/>
        <w:numPr>
          <w:ilvl w:val="0"/>
          <w:numId w:val="1"/>
        </w:numPr>
        <w:spacing w:before="0" w:after="120"/>
        <w:rPr>
          <w:szCs w:val="22"/>
          <w:lang w:val="en-AU"/>
        </w:rPr>
      </w:pPr>
      <w:r>
        <w:rPr>
          <w:szCs w:val="22"/>
          <w:lang w:val="en-AU"/>
        </w:rPr>
        <w:t>A(H3N2) are largely derived from PCR results reported as A(H3). Based on nationally available subtyping and characterisation data, these cases are assumed to be A(H3N2).</w:t>
      </w:r>
    </w:p>
    <w:p>
      <w:pPr>
        <w:pStyle w:val="Normal"/>
        <w:numPr>
          <w:ilvl w:val="0"/>
          <w:numId w:val="1"/>
        </w:numPr>
        <w:spacing w:before="0" w:after="120"/>
        <w:rPr>
          <w:szCs w:val="22"/>
          <w:lang w:val="en-AU"/>
        </w:rPr>
      </w:pPr>
      <w:r>
        <w:rPr>
          <w:szCs w:val="22"/>
          <w:lang w:val="en-AU"/>
        </w:rPr>
        <w:t>A and B denotes a co-infection of both influenza A and influenza B viruses.</w:t>
      </w:r>
    </w:p>
    <w:p>
      <w:pPr>
        <w:pStyle w:val="Normal"/>
        <w:rPr>
          <w:szCs w:val="22"/>
          <w:lang w:val="en-AU"/>
        </w:rPr>
      </w:pPr>
      <w:r>
        <w:rPr>
          <w:szCs w:val="22"/>
          <w:lang w:val="en-AU"/>
        </w:rPr>
      </w:r>
    </w:p>
    <w:p>
      <w:pPr>
        <w:pStyle w:val="Ttulo1"/>
        <w:rPr/>
      </w:pPr>
      <w:bookmarkStart w:id="41" w:name="_Toc523980351"/>
      <w:r>
        <w:rPr/>
        <w:t>Resources</w:t>
      </w:r>
      <w:bookmarkEnd w:id="41"/>
    </w:p>
    <w:p>
      <w:pPr>
        <w:pStyle w:val="Normal"/>
        <w:spacing w:before="0" w:after="120"/>
        <w:rPr>
          <w:b/>
          <w:b/>
          <w:szCs w:val="22"/>
          <w:lang w:val="en-AU"/>
        </w:rPr>
      </w:pPr>
      <w:r>
        <w:rPr>
          <w:szCs w:val="22"/>
          <w:lang w:val="en-AU"/>
        </w:rPr>
        <w:t>It is recommended that the following resources are used in interpreting the data provided:</w:t>
      </w:r>
    </w:p>
    <w:p>
      <w:pPr>
        <w:pStyle w:val="Normal"/>
        <w:numPr>
          <w:ilvl w:val="0"/>
          <w:numId w:val="1"/>
        </w:numPr>
        <w:spacing w:before="0" w:after="120"/>
        <w:contextualSpacing/>
        <w:rPr>
          <w:i/>
          <w:i/>
          <w:szCs w:val="22"/>
          <w:lang w:val="en-AU"/>
        </w:rPr>
      </w:pPr>
      <w:r>
        <w:rPr>
          <w:i/>
          <w:szCs w:val="22"/>
          <w:lang w:val="en-AU"/>
        </w:rPr>
        <w:t>Australia's notifiable diseases status: Annual report of the National Notifiable Diseases Surveillance System</w:t>
      </w:r>
      <w:r>
        <w:rPr>
          <w:szCs w:val="22"/>
          <w:lang w:val="en-AU"/>
        </w:rPr>
        <w:t xml:space="preserve"> Annual report series published in </w:t>
      </w:r>
      <w:r>
        <w:rPr>
          <w:i/>
          <w:szCs w:val="22"/>
          <w:lang w:val="en-AU"/>
        </w:rPr>
        <w:t>Communicable Diseases Intelligence</w:t>
      </w:r>
      <w:r>
        <w:rPr>
          <w:szCs w:val="22"/>
          <w:lang w:val="en-AU"/>
        </w:rPr>
        <w:t xml:space="preserve">, available at: </w:t>
      </w:r>
      <w:hyperlink r:id="rId6">
        <w:r>
          <w:rPr>
            <w:color w:val="0000FF"/>
            <w:szCs w:val="22"/>
            <w:u w:val="single"/>
            <w:lang w:val="en-AU"/>
          </w:rPr>
          <w:t>http://www.health.gov.au/internet/main/publishing.nsf/Content/cda-pubs-annlrpt-nndssar.htm</w:t>
        </w:r>
      </w:hyperlink>
    </w:p>
    <w:p>
      <w:pPr>
        <w:pStyle w:val="Normal"/>
        <w:numPr>
          <w:ilvl w:val="0"/>
          <w:numId w:val="1"/>
        </w:numPr>
        <w:spacing w:before="0" w:after="120"/>
        <w:contextualSpacing/>
        <w:rPr>
          <w:i/>
          <w:i/>
          <w:szCs w:val="22"/>
          <w:lang w:val="en-AU"/>
        </w:rPr>
      </w:pPr>
      <w:r>
        <w:rPr>
          <w:i/>
          <w:szCs w:val="22"/>
          <w:lang w:val="en-AU"/>
        </w:rPr>
        <w:t xml:space="preserve">National Influenza Surveillance Scheme </w:t>
      </w:r>
      <w:r>
        <w:rPr>
          <w:szCs w:val="22"/>
          <w:lang w:val="en-AU"/>
        </w:rPr>
        <w:t xml:space="preserve">Annual report series published in </w:t>
      </w:r>
      <w:r>
        <w:rPr>
          <w:i/>
          <w:szCs w:val="22"/>
          <w:lang w:val="en-AU"/>
        </w:rPr>
        <w:t>Communicable Diseases Intelligence</w:t>
      </w:r>
      <w:r>
        <w:rPr>
          <w:szCs w:val="22"/>
          <w:lang w:val="en-AU"/>
        </w:rPr>
        <w:t>, available at:</w:t>
      </w:r>
      <w:r>
        <w:rPr/>
        <w:t xml:space="preserve"> </w:t>
      </w:r>
      <w:hyperlink r:id="rId7">
        <w:r>
          <w:rPr>
            <w:rStyle w:val="EnlacedeInternet"/>
            <w:szCs w:val="22"/>
            <w:lang w:val="en-AU"/>
          </w:rPr>
          <w:t>http://www.health.gov.au/internet/main/publishing.nsf/Content/cda-pubs-annlrpt-fluannrep.htm</w:t>
        </w:r>
      </w:hyperlink>
    </w:p>
    <w:p>
      <w:pPr>
        <w:pStyle w:val="Normal"/>
        <w:numPr>
          <w:ilvl w:val="0"/>
          <w:numId w:val="1"/>
        </w:numPr>
        <w:spacing w:before="0" w:after="120"/>
        <w:contextualSpacing/>
        <w:rPr>
          <w:i/>
          <w:i/>
          <w:szCs w:val="22"/>
          <w:lang w:val="en-AU"/>
        </w:rPr>
      </w:pPr>
      <w:r>
        <w:rPr>
          <w:i/>
          <w:szCs w:val="22"/>
          <w:lang w:val="en-AU"/>
        </w:rPr>
        <w:t>Australian Influenza Surveillance Report</w:t>
      </w:r>
      <w:r>
        <w:rPr>
          <w:szCs w:val="22"/>
          <w:lang w:val="en-AU"/>
        </w:rPr>
        <w:t xml:space="preserve"> and inter-seasonal </w:t>
      </w:r>
      <w:r>
        <w:rPr>
          <w:i/>
          <w:szCs w:val="22"/>
          <w:lang w:val="en-AU"/>
        </w:rPr>
        <w:t>Activity Updates</w:t>
      </w:r>
      <w:r>
        <w:rPr>
          <w:szCs w:val="22"/>
          <w:lang w:val="en-AU"/>
        </w:rPr>
        <w:t xml:space="preserve">, available at: </w:t>
      </w:r>
      <w:hyperlink r:id="rId8">
        <w:r>
          <w:rPr>
            <w:rStyle w:val="EnlacedeInternet"/>
            <w:szCs w:val="22"/>
            <w:lang w:val="en-AU"/>
          </w:rPr>
          <w:t>www.health.gov.au/flureport</w:t>
        </w:r>
      </w:hyperlink>
      <w:r>
        <w:rPr>
          <w:szCs w:val="22"/>
          <w:lang w:val="en-AU"/>
        </w:rPr>
        <w:t xml:space="preserve"> </w:t>
      </w:r>
    </w:p>
    <w:p>
      <w:pPr>
        <w:pStyle w:val="Normal"/>
        <w:rPr>
          <w:lang w:val="en-AU"/>
        </w:rPr>
      </w:pPr>
      <w:r>
        <w:rPr>
          <w:lang w:val="en-AU"/>
        </w:rPr>
      </w:r>
    </w:p>
    <w:p>
      <w:pPr>
        <w:pStyle w:val="Ttulo1"/>
        <w:rPr/>
      </w:pPr>
      <w:bookmarkStart w:id="42" w:name="_Toc384892561"/>
      <w:bookmarkStart w:id="43" w:name="_Toc379459704"/>
      <w:bookmarkStart w:id="44" w:name="_Toc523980352"/>
      <w:bookmarkEnd w:id="42"/>
      <w:bookmarkEnd w:id="43"/>
      <w:r>
        <w:rPr/>
        <w:t>Acknowledgements</w:t>
      </w:r>
      <w:bookmarkEnd w:id="44"/>
    </w:p>
    <w:p>
      <w:pPr>
        <w:pStyle w:val="StyleCalibri11ptAfter6pt"/>
        <w:rPr>
          <w:lang w:val="en-AU"/>
        </w:rPr>
      </w:pPr>
      <w:r>
        <w:rPr>
          <w:lang w:val="en-AU"/>
        </w:rPr>
        <w:t>The Department of Health acknowledges the Communicable Diseases Network Australia, the work of public health officers involved in the collection of surveillance data; State and territory public health communicable disease surveillance managers and data managers; public and private laboratories that support influenza laboratory surveillance in Australia.</w:t>
      </w:r>
    </w:p>
    <w:p>
      <w:pPr>
        <w:pStyle w:val="Normal"/>
        <w:rPr>
          <w:szCs w:val="22"/>
          <w:lang w:val="en-AU"/>
        </w:rPr>
      </w:pPr>
      <w:r>
        <w:rPr/>
      </w:r>
    </w:p>
    <w:sectPr>
      <w:footerReference w:type="default" r:id="rId9"/>
      <w:type w:val="nextPage"/>
      <w:pgSz w:w="11906" w:h="16838"/>
      <w:pgMar w:left="1080" w:right="1133" w:header="0" w:top="719"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0"/>
      </w:pBdr>
      <w:tabs>
        <w:tab w:val="clear" w:pos="8306"/>
        <w:tab w:val="center" w:pos="4153" w:leader="none"/>
        <w:tab w:val="right" w:pos="9639" w:leader="none"/>
      </w:tabs>
      <w:rPr>
        <w:rFonts w:ascii="Arial" w:hAnsi="Arial" w:cs="Arial"/>
        <w:sz w:val="18"/>
        <w:szCs w:val="18"/>
        <w:lang w:val="en-AU"/>
      </w:rPr>
    </w:pPr>
    <w:r>
      <w:rPr>
        <w:rFonts w:cs="Arial" w:ascii="Arial" w:hAnsi="Arial"/>
        <w:sz w:val="18"/>
        <w:szCs w:val="18"/>
        <w:lang w:val="en-AU"/>
      </w:rPr>
      <w:t>NNDSS – Influenza Public Data Set: 2008-2017</w:t>
      <w:tab/>
      <w:tab/>
      <w:t xml:space="preserve">Page </w:t>
    </w:r>
    <w:r>
      <w:rPr>
        <w:rStyle w:val="Pagenumber"/>
        <w:rFonts w:cs="Arial" w:ascii="Arial" w:hAnsi="Arial"/>
        <w:sz w:val="18"/>
        <w:szCs w:val="18"/>
      </w:rPr>
      <w:fldChar w:fldCharType="begin"/>
    </w:r>
    <w:r>
      <w:rPr>
        <w:rStyle w:val="Pagenumber"/>
        <w:sz w:val="18"/>
        <w:szCs w:val="18"/>
        <w:rFonts w:cs="Arial" w:ascii="Arial" w:hAnsi="Arial"/>
      </w:rPr>
      <w:instrText> PAGE </w:instrText>
    </w:r>
    <w:r>
      <w:rPr>
        <w:rStyle w:val="Pagenumber"/>
        <w:sz w:val="18"/>
        <w:szCs w:val="18"/>
        <w:rFonts w:cs="Arial" w:ascii="Arial" w:hAnsi="Arial"/>
      </w:rPr>
      <w:fldChar w:fldCharType="separate"/>
    </w:r>
    <w:r>
      <w:rPr>
        <w:rStyle w:val="Pagenumber"/>
        <w:sz w:val="18"/>
        <w:szCs w:val="18"/>
        <w:rFonts w:cs="Arial" w:ascii="Arial" w:hAnsi="Arial"/>
      </w:rPr>
      <w:t>5</w:t>
    </w:r>
    <w:r>
      <w:rPr>
        <w:rStyle w:val="Pagenumber"/>
        <w:sz w:val="18"/>
        <w:szCs w:val="18"/>
        <w:rFonts w:cs="Arial" w:ascii="Arial" w:hAnsi="Arial"/>
      </w:rPr>
      <w:fldChar w:fldCharType="end"/>
    </w:r>
  </w:p>
  <w:p>
    <w:pPr>
      <w:pStyle w:val="Piedepgina"/>
      <w:rPr>
        <w:rFonts w:ascii="Arial" w:hAnsi="Arial" w:cs="Arial"/>
        <w:sz w:val="18"/>
        <w:szCs w:val="18"/>
        <w:lang w:val="en-AU"/>
      </w:rPr>
    </w:pPr>
    <w:r>
      <w:rPr>
        <w:rFonts w:cs="Arial" w:ascii="Arial" w:hAnsi="Arial"/>
        <w:sz w:val="18"/>
        <w:szCs w:val="18"/>
        <w:lang w:val="en-AU"/>
      </w:rPr>
      <w:t>Data caveats</w:t>
    </w:r>
  </w:p>
  <w:p>
    <w:pPr>
      <w:pStyle w:val="Piedepgina"/>
      <w:rPr>
        <w:rFonts w:ascii="Arial" w:hAnsi="Arial" w:cs="Arial"/>
        <w:i/>
        <w:i/>
        <w:sz w:val="18"/>
        <w:szCs w:val="18"/>
        <w:lang w:val="en-AU"/>
      </w:rPr>
    </w:pPr>
    <w:r>
      <w:rPr>
        <w:rFonts w:cs="Arial" w:ascii="Arial" w:hAnsi="Arial"/>
        <w:i/>
        <w:sz w:val="18"/>
        <w:szCs w:val="18"/>
        <w:lang w:val="en-A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665949"/>
    <w:pPr>
      <w:widowControl/>
      <w:bidi w:val="0"/>
      <w:spacing w:before="0" w:after="0"/>
      <w:jc w:val="left"/>
    </w:pPr>
    <w:rPr>
      <w:rFonts w:ascii="Calibri" w:hAnsi="Calibri" w:eastAsia="Times New Roman" w:cs="Times New Roman"/>
      <w:color w:val="auto"/>
      <w:kern w:val="0"/>
      <w:sz w:val="22"/>
      <w:szCs w:val="24"/>
      <w:lang w:val="en-US" w:eastAsia="en-US" w:bidi="ar-SA"/>
    </w:rPr>
  </w:style>
  <w:style w:type="paragraph" w:styleId="Ttulo1">
    <w:name w:val="Heading 1"/>
    <w:basedOn w:val="Normal"/>
    <w:next w:val="Normal"/>
    <w:autoRedefine/>
    <w:qFormat/>
    <w:locked/>
    <w:rsid w:val="00665949"/>
    <w:pPr>
      <w:keepNext w:val="true"/>
      <w:spacing w:before="240" w:after="60"/>
      <w:outlineLvl w:val="0"/>
    </w:pPr>
    <w:rPr>
      <w:rFonts w:cs="Arial"/>
      <w:b/>
      <w:bCs/>
      <w:caps/>
      <w:kern w:val="2"/>
      <w:sz w:val="28"/>
      <w:szCs w:val="32"/>
      <w:lang w:val="en-AU"/>
    </w:rPr>
  </w:style>
  <w:style w:type="paragraph" w:styleId="Ttulo2">
    <w:name w:val="Heading 2"/>
    <w:basedOn w:val="Normal"/>
    <w:next w:val="Normal"/>
    <w:link w:val="Heading2Char"/>
    <w:qFormat/>
    <w:locked/>
    <w:rsid w:val="002f4ccf"/>
    <w:pPr>
      <w:keepNext w:val="true"/>
      <w:spacing w:before="240" w:after="60"/>
      <w:outlineLvl w:val="1"/>
    </w:pPr>
    <w:rPr>
      <w:rFonts w:cs="Arial"/>
      <w:b/>
      <w:bCs/>
      <w:i/>
      <w:iCs/>
      <w:sz w:val="26"/>
      <w:szCs w:val="28"/>
    </w:rPr>
  </w:style>
  <w:style w:type="paragraph" w:styleId="Ttulo3">
    <w:name w:val="Heading 3"/>
    <w:basedOn w:val="Normal"/>
    <w:next w:val="Normal"/>
    <w:link w:val="Heading3Char"/>
    <w:semiHidden/>
    <w:unhideWhenUsed/>
    <w:qFormat/>
    <w:locked/>
    <w:rsid w:val="000107f8"/>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EnlacedeInternet">
    <w:name w:val="Enlace de Internet"/>
    <w:uiPriority w:val="99"/>
    <w:rsid w:val="00e81c14"/>
    <w:rPr>
      <w:rFonts w:cs="Times New Roman"/>
      <w:color w:val="0000FF"/>
      <w:u w:val="single"/>
    </w:rPr>
  </w:style>
  <w:style w:type="character" w:styleId="BalloonTextChar" w:customStyle="1">
    <w:name w:val="Balloon Text Char"/>
    <w:link w:val="BalloonText"/>
    <w:semiHidden/>
    <w:qFormat/>
    <w:locked/>
    <w:rPr>
      <w:rFonts w:cs="Times New Roman"/>
      <w:sz w:val="2"/>
    </w:rPr>
  </w:style>
  <w:style w:type="character" w:styleId="TableBodyTextChar" w:customStyle="1">
    <w:name w:val="Table Body Text Char"/>
    <w:link w:val="TableBodyText"/>
    <w:qFormat/>
    <w:locked/>
    <w:rsid w:val="00ee4c81"/>
    <w:rPr>
      <w:rFonts w:ascii="Arial" w:hAnsi="Arial" w:cs="Times New Roman"/>
      <w:lang w:val="en-AU" w:eastAsia="en-AU" w:bidi="ar-SA"/>
    </w:rPr>
  </w:style>
  <w:style w:type="character" w:styleId="BodyTextChar" w:customStyle="1">
    <w:name w:val="Body Text Char"/>
    <w:link w:val="BodyText"/>
    <w:semiHidden/>
    <w:qFormat/>
    <w:locked/>
    <w:rPr>
      <w:rFonts w:cs="Times New Roman"/>
      <w:sz w:val="24"/>
      <w:szCs w:val="24"/>
    </w:rPr>
  </w:style>
  <w:style w:type="character" w:styleId="EnlacedeInternetvisitado">
    <w:name w:val="Enlace de Internet visitado"/>
    <w:rsid w:val="00197d08"/>
    <w:rPr>
      <w:color w:val="008080"/>
      <w:u w:val="single"/>
    </w:rPr>
  </w:style>
  <w:style w:type="character" w:styleId="Pagenumber">
    <w:name w:val="page number"/>
    <w:basedOn w:val="DefaultParagraphFont"/>
    <w:qFormat/>
    <w:rsid w:val="00ed7723"/>
    <w:rPr/>
  </w:style>
  <w:style w:type="character" w:styleId="SubtleEmphasis">
    <w:name w:val="Subtle Emphasis"/>
    <w:uiPriority w:val="19"/>
    <w:qFormat/>
    <w:rsid w:val="00c975c7"/>
    <w:rPr>
      <w:i/>
      <w:iCs/>
      <w:color w:val="808080"/>
    </w:rPr>
  </w:style>
  <w:style w:type="character" w:styleId="Annotationreference">
    <w:name w:val="annotation reference"/>
    <w:qFormat/>
    <w:rsid w:val="001b23ff"/>
    <w:rPr>
      <w:sz w:val="16"/>
      <w:szCs w:val="16"/>
    </w:rPr>
  </w:style>
  <w:style w:type="character" w:styleId="CommentTextChar" w:customStyle="1">
    <w:name w:val="Comment Text Char"/>
    <w:link w:val="CommentText"/>
    <w:qFormat/>
    <w:rsid w:val="001b23ff"/>
    <w:rPr>
      <w:lang w:val="en-US" w:eastAsia="en-US"/>
    </w:rPr>
  </w:style>
  <w:style w:type="character" w:styleId="CommentSubjectChar" w:customStyle="1">
    <w:name w:val="Comment Subject Char"/>
    <w:link w:val="CommentSubject"/>
    <w:qFormat/>
    <w:rsid w:val="001b23ff"/>
    <w:rPr>
      <w:b/>
      <w:bCs/>
      <w:lang w:val="en-US" w:eastAsia="en-US"/>
    </w:rPr>
  </w:style>
  <w:style w:type="character" w:styleId="FootnoteTextChar" w:customStyle="1">
    <w:name w:val="Footnote Text Char"/>
    <w:link w:val="FootnoteText"/>
    <w:qFormat/>
    <w:rsid w:val="003f79c2"/>
    <w:rPr>
      <w:lang w:val="en-US" w:eastAsia="en-US"/>
    </w:rPr>
  </w:style>
  <w:style w:type="character" w:styleId="Ancladenotaalpie">
    <w:name w:val="Ancla de nota al pie"/>
    <w:rPr>
      <w:vertAlign w:val="superscript"/>
    </w:rPr>
  </w:style>
  <w:style w:type="character" w:styleId="FootnoteCharacters">
    <w:name w:val="Footnote Characters"/>
    <w:qFormat/>
    <w:rsid w:val="003f79c2"/>
    <w:rPr>
      <w:vertAlign w:val="superscript"/>
    </w:rPr>
  </w:style>
  <w:style w:type="character" w:styleId="Strong">
    <w:name w:val="Strong"/>
    <w:qFormat/>
    <w:locked/>
    <w:rsid w:val="002f4ccf"/>
    <w:rPr>
      <w:b/>
      <w:bCs/>
    </w:rPr>
  </w:style>
  <w:style w:type="character" w:styleId="Heading2Char" w:customStyle="1">
    <w:name w:val="Heading 2 Char"/>
    <w:link w:val="Heading2"/>
    <w:qFormat/>
    <w:rsid w:val="002f4ccf"/>
    <w:rPr>
      <w:rFonts w:ascii="Calibri" w:hAnsi="Calibri" w:cs="Arial"/>
      <w:b/>
      <w:bCs/>
      <w:i/>
      <w:iCs/>
      <w:sz w:val="26"/>
      <w:szCs w:val="28"/>
      <w:lang w:val="en-US" w:eastAsia="en-US"/>
    </w:rPr>
  </w:style>
  <w:style w:type="character" w:styleId="Heading3Char" w:customStyle="1">
    <w:name w:val="Heading 3 Char"/>
    <w:basedOn w:val="DefaultParagraphFont"/>
    <w:link w:val="Heading3"/>
    <w:semiHidden/>
    <w:qFormat/>
    <w:rsid w:val="000107f8"/>
    <w:rPr>
      <w:rFonts w:ascii="Cambria" w:hAnsi="Cambria" w:eastAsia="" w:cs="" w:asciiTheme="majorHAnsi" w:cstheme="majorBidi" w:eastAsiaTheme="majorEastAsia" w:hAnsiTheme="majorHAnsi"/>
      <w:b/>
      <w:bCs/>
      <w:color w:val="4F81BD" w:themeColor="accent1"/>
      <w:sz w:val="22"/>
      <w:szCs w:val="24"/>
      <w:lang w:val="en-US" w:eastAsia="en-U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ee4c81"/>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harChar1CharCharCharChar" w:customStyle="1">
    <w:name w:val="Char Char1 Char Char Char Char"/>
    <w:basedOn w:val="Normal"/>
    <w:qFormat/>
    <w:rsid w:val="00e81c14"/>
    <w:pPr/>
    <w:rPr>
      <w:rFonts w:ascii="Arial" w:hAnsi="Arial" w:cs="Arial"/>
      <w:szCs w:val="22"/>
      <w:lang w:val="en-AU"/>
    </w:rPr>
  </w:style>
  <w:style w:type="paragraph" w:styleId="BalloonText">
    <w:name w:val="Balloon Text"/>
    <w:basedOn w:val="Normal"/>
    <w:link w:val="BalloonTextChar"/>
    <w:semiHidden/>
    <w:qFormat/>
    <w:rsid w:val="00654fa7"/>
    <w:pPr/>
    <w:rPr>
      <w:rFonts w:ascii="Tahoma" w:hAnsi="Tahoma" w:cs="Tahoma"/>
      <w:sz w:val="16"/>
      <w:szCs w:val="16"/>
    </w:rPr>
  </w:style>
  <w:style w:type="paragraph" w:styleId="TableBodyText" w:customStyle="1">
    <w:name w:val="Table Body Text"/>
    <w:basedOn w:val="Cuerpodetexto"/>
    <w:link w:val="TableBodyTextChar"/>
    <w:qFormat/>
    <w:rsid w:val="00ee4c81"/>
    <w:pPr>
      <w:keepNext w:val="true"/>
      <w:keepLines/>
      <w:spacing w:lineRule="atLeast" w:line="220" w:before="0" w:after="40"/>
      <w:ind w:left="6" w:right="113" w:hanging="0"/>
      <w:jc w:val="right"/>
    </w:pPr>
    <w:rPr>
      <w:rFonts w:ascii="Arial" w:hAnsi="Arial"/>
      <w:sz w:val="20"/>
      <w:szCs w:val="20"/>
      <w:lang w:val="en-AU" w:eastAsia="en-AU"/>
    </w:rPr>
  </w:style>
  <w:style w:type="paragraph" w:styleId="Sumario1">
    <w:name w:val="TOC 1"/>
    <w:basedOn w:val="Normal"/>
    <w:next w:val="Normal"/>
    <w:autoRedefine/>
    <w:uiPriority w:val="39"/>
    <w:rsid w:val="00665949"/>
    <w:pPr/>
    <w:rPr>
      <w:caps/>
    </w:rPr>
  </w:style>
  <w:style w:type="paragraph" w:styleId="Sumario2">
    <w:name w:val="TOC 2"/>
    <w:basedOn w:val="Normal"/>
    <w:next w:val="Normal"/>
    <w:autoRedefine/>
    <w:uiPriority w:val="39"/>
    <w:rsid w:val="00665949"/>
    <w:pPr>
      <w:ind w:left="240" w:hanging="0"/>
    </w:pPr>
    <w:rPr/>
  </w:style>
  <w:style w:type="paragraph" w:styleId="Cabeceraypie">
    <w:name w:val="Cabecera y pie"/>
    <w:basedOn w:val="Normal"/>
    <w:qFormat/>
    <w:pPr/>
    <w:rPr/>
  </w:style>
  <w:style w:type="paragraph" w:styleId="Cabecera">
    <w:name w:val="Header"/>
    <w:basedOn w:val="Normal"/>
    <w:rsid w:val="00ed7723"/>
    <w:pPr>
      <w:tabs>
        <w:tab w:val="clear" w:pos="720"/>
        <w:tab w:val="center" w:pos="4153" w:leader="none"/>
        <w:tab w:val="right" w:pos="8306" w:leader="none"/>
      </w:tabs>
    </w:pPr>
    <w:rPr/>
  </w:style>
  <w:style w:type="paragraph" w:styleId="Piedepgina">
    <w:name w:val="Footer"/>
    <w:basedOn w:val="Normal"/>
    <w:rsid w:val="00ed7723"/>
    <w:pPr>
      <w:tabs>
        <w:tab w:val="clear" w:pos="720"/>
        <w:tab w:val="center" w:pos="4153" w:leader="none"/>
        <w:tab w:val="right" w:pos="8306" w:leader="none"/>
      </w:tabs>
    </w:pPr>
    <w:rPr/>
  </w:style>
  <w:style w:type="paragraph" w:styleId="Annotationtext">
    <w:name w:val="annotation text"/>
    <w:basedOn w:val="Normal"/>
    <w:link w:val="CommentTextChar"/>
    <w:qFormat/>
    <w:rsid w:val="001b23ff"/>
    <w:pPr/>
    <w:rPr>
      <w:sz w:val="20"/>
      <w:szCs w:val="20"/>
    </w:rPr>
  </w:style>
  <w:style w:type="paragraph" w:styleId="Annotationsubject">
    <w:name w:val="annotation subject"/>
    <w:basedOn w:val="Annotationtext"/>
    <w:next w:val="Annotationtext"/>
    <w:link w:val="CommentSubjectChar"/>
    <w:qFormat/>
    <w:rsid w:val="001b23ff"/>
    <w:pPr/>
    <w:rPr>
      <w:b/>
      <w:bCs/>
    </w:rPr>
  </w:style>
  <w:style w:type="paragraph" w:styleId="Notaalpie">
    <w:name w:val="Footnote Text"/>
    <w:basedOn w:val="Normal"/>
    <w:link w:val="FootnoteTextChar"/>
    <w:rsid w:val="003f79c2"/>
    <w:pPr/>
    <w:rPr>
      <w:sz w:val="20"/>
      <w:szCs w:val="20"/>
    </w:rPr>
  </w:style>
  <w:style w:type="paragraph" w:styleId="Char" w:customStyle="1">
    <w:name w:val="Char"/>
    <w:basedOn w:val="Normal"/>
    <w:qFormat/>
    <w:rsid w:val="00d57f08"/>
    <w:pPr/>
    <w:rPr>
      <w:rFonts w:ascii="Arial" w:hAnsi="Arial" w:cs="Arial"/>
      <w:szCs w:val="22"/>
      <w:lang w:val="en-AU"/>
    </w:rPr>
  </w:style>
  <w:style w:type="paragraph" w:styleId="Caption">
    <w:name w:val="caption"/>
    <w:basedOn w:val="Normal"/>
    <w:next w:val="Normal"/>
    <w:unhideWhenUsed/>
    <w:qFormat/>
    <w:locked/>
    <w:rsid w:val="00b80edb"/>
    <w:pPr/>
    <w:rPr>
      <w:b/>
      <w:bCs/>
      <w:sz w:val="20"/>
      <w:szCs w:val="20"/>
    </w:rPr>
  </w:style>
  <w:style w:type="paragraph" w:styleId="ListParagraph">
    <w:name w:val="List Paragraph"/>
    <w:basedOn w:val="Normal"/>
    <w:uiPriority w:val="34"/>
    <w:qFormat/>
    <w:rsid w:val="002f4ccf"/>
    <w:pPr>
      <w:spacing w:before="0" w:after="0"/>
      <w:ind w:left="720" w:hanging="0"/>
      <w:contextualSpacing/>
    </w:pPr>
    <w:rPr/>
  </w:style>
  <w:style w:type="paragraph" w:styleId="Sumario3">
    <w:name w:val="TOC 3"/>
    <w:basedOn w:val="Normal"/>
    <w:next w:val="Normal"/>
    <w:autoRedefine/>
    <w:rsid w:val="00665949"/>
    <w:pPr>
      <w:spacing w:before="0" w:after="100"/>
      <w:ind w:left="480" w:hanging="0"/>
    </w:pPr>
    <w:rPr/>
  </w:style>
  <w:style w:type="paragraph" w:styleId="Sumario4">
    <w:name w:val="TOC 4"/>
    <w:basedOn w:val="Normal"/>
    <w:next w:val="Normal"/>
    <w:autoRedefine/>
    <w:rsid w:val="00665949"/>
    <w:pPr>
      <w:spacing w:before="0" w:after="100"/>
      <w:ind w:left="720" w:hanging="0"/>
    </w:pPr>
    <w:rPr/>
  </w:style>
  <w:style w:type="paragraph" w:styleId="StyleCalibri11ptAfter6pt" w:customStyle="1">
    <w:name w:val="Style Calibri 11 pt After:  6 pt"/>
    <w:basedOn w:val="Normal"/>
    <w:qFormat/>
    <w:rsid w:val="000107f8"/>
    <w:pPr/>
    <w:rPr>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96c62"/>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a90c87"/>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dc@act.gov.au" TargetMode="External"/><Relationship Id="rId4" Type="http://schemas.openxmlformats.org/officeDocument/2006/relationships/hyperlink" Target="http://www.health.gov.au/internet/main/publishing.nsf/Content/cda-surveil-nndss-casedefs-cd_flu.htm" TargetMode="External"/><Relationship Id="rId5" Type="http://schemas.openxmlformats.org/officeDocument/2006/relationships/hyperlink" Target="http://meteor.aihw.gov.au/content/index.phtml/itemId/327276" TargetMode="External"/><Relationship Id="rId6" Type="http://schemas.openxmlformats.org/officeDocument/2006/relationships/hyperlink" Target="http://www.health.gov.au/internet/main/publishing.nsf/Content/cda-pubs-annlrpt-nndssar.htm" TargetMode="External"/><Relationship Id="rId7" Type="http://schemas.openxmlformats.org/officeDocument/2006/relationships/hyperlink" Target="http://www.health.gov.au/internet/main/publishing.nsf/Content/cda-pubs-annlrpt-fluannrep.htm" TargetMode="External"/><Relationship Id="rId8" Type="http://schemas.openxmlformats.org/officeDocument/2006/relationships/hyperlink" Target="http://www.health.gov.au/flureport"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72348B-2637-4CE3-947E-E080A706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LibreOffice/6.4.6.2$Linux_X86_64 LibreOffice_project/40$Build-2</Application>
  <Pages>8</Pages>
  <Words>1663</Words>
  <Characters>9283</Characters>
  <CharactersWithSpaces>10691</CharactersWithSpaces>
  <Paragraphs>212</Paragraphs>
  <Company>DHA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2018-09-04T22:47:00Z</dcterms:created>
  <dc:creator>richkr</dc:creator>
  <dc:description/>
  <dc:language>en-US</dc:language>
  <cp:lastModifiedBy>Health</cp:lastModifiedBy>
  <cp:lastPrinted>2018-09-04T22:37:00Z</cp:lastPrinted>
  <dcterms:modified xsi:type="dcterms:W3CDTF">2018-10-23T01:58:00Z</dcterms:modified>
  <cp:revision>16</cp:revision>
  <dc:subject/>
  <dc:title>Data Caveats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DHA</vt:lpwstr>
  </property>
  <property fmtid="{D5CDD505-2E9C-101B-9397-08002B2CF9AE}" pid="4" name="DMSDOCTYPE">
    <vt:lpwstr/>
  </property>
  <property fmtid="{D5CDD505-2E9C-101B-9397-08002B2CF9AE}" pid="5" name="DocSecurity">
    <vt:i4>0</vt:i4>
  </property>
  <property fmtid="{D5CDD505-2E9C-101B-9397-08002B2CF9AE}" pid="6" name="DraftType">
    <vt:lpwstr/>
  </property>
  <property fmtid="{D5CDD505-2E9C-101B-9397-08002B2CF9AE}" pid="7" name="HyperlinksChanged">
    <vt:bool>0</vt:bool>
  </property>
  <property fmtid="{D5CDD505-2E9C-101B-9397-08002B2CF9AE}" pid="8" name="LinksUpToDate">
    <vt:bool>0</vt:bool>
  </property>
  <property fmtid="{D5CDD505-2E9C-101B-9397-08002B2CF9AE}" pid="9" name="NeverSavedToNT">
    <vt:lpwstr/>
  </property>
  <property fmtid="{D5CDD505-2E9C-101B-9397-08002B2CF9AE}" pid="10" name="ScaleCrop">
    <vt:bool>0</vt:bool>
  </property>
  <property fmtid="{D5CDD505-2E9C-101B-9397-08002B2CF9AE}" pid="11" name="ShareDoc">
    <vt:bool>0</vt:bool>
  </property>
  <property fmtid="{D5CDD505-2E9C-101B-9397-08002B2CF9AE}" pid="12" name="WPLUSDataBaseName">
    <vt:lpwstr/>
  </property>
  <property fmtid="{D5CDD505-2E9C-101B-9397-08002B2CF9AE}" pid="13" name="WPLUSDocumentUNID">
    <vt:lpwstr/>
  </property>
  <property fmtid="{D5CDD505-2E9C-101B-9397-08002B2CF9AE}" pid="14" name="WPLUSServerName">
    <vt:lpwstr/>
  </property>
</Properties>
</file>