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0EEB6" w14:textId="228B9683" w:rsidR="00A04F3E" w:rsidRDefault="00BE5F6F" w:rsidP="00A04F3E">
      <w:pPr>
        <w:spacing w:after="0"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Special </w:t>
      </w:r>
      <w:r w:rsidR="00A04F3E" w:rsidRPr="006806AF">
        <w:rPr>
          <w:rFonts w:ascii="Times New Roman" w:hAnsi="Times New Roman" w:cs="Times New Roman"/>
          <w:b/>
          <w:bCs/>
          <w:sz w:val="24"/>
          <w:szCs w:val="24"/>
          <w:u w:val="single"/>
        </w:rPr>
        <w:t>Interrogatories</w:t>
      </w:r>
      <w:r>
        <w:rPr>
          <w:rFonts w:ascii="Times New Roman" w:hAnsi="Times New Roman" w:cs="Times New Roman"/>
          <w:b/>
          <w:bCs/>
          <w:sz w:val="24"/>
          <w:szCs w:val="24"/>
          <w:u w:val="single"/>
        </w:rPr>
        <w:t xml:space="preserve"> Objection List</w:t>
      </w:r>
      <w:r w:rsidR="00A04F3E" w:rsidRPr="006806AF">
        <w:rPr>
          <w:rFonts w:ascii="Times New Roman" w:hAnsi="Times New Roman" w:cs="Times New Roman"/>
          <w:b/>
          <w:bCs/>
          <w:sz w:val="24"/>
          <w:szCs w:val="24"/>
          <w:u w:val="single"/>
        </w:rPr>
        <w:t>:</w:t>
      </w:r>
    </w:p>
    <w:p w14:paraId="1F42382D" w14:textId="1DD4929E" w:rsidR="00AB3C4B" w:rsidRDefault="00A04F3E" w:rsidP="00AB3C4B">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Tips</w:t>
      </w:r>
      <w:r w:rsidR="00AC376E">
        <w:rPr>
          <w:rFonts w:ascii="Times New Roman" w:hAnsi="Times New Roman" w:cs="Times New Roman"/>
          <w:i/>
          <w:iCs/>
          <w:sz w:val="24"/>
          <w:szCs w:val="24"/>
        </w:rPr>
        <w:t xml:space="preserve"> to read and use before choosing objections</w:t>
      </w:r>
      <w:r>
        <w:rPr>
          <w:rFonts w:ascii="Times New Roman" w:hAnsi="Times New Roman" w:cs="Times New Roman"/>
          <w:i/>
          <w:iCs/>
          <w:sz w:val="24"/>
          <w:szCs w:val="24"/>
        </w:rPr>
        <w:t xml:space="preserve">: </w:t>
      </w:r>
    </w:p>
    <w:p w14:paraId="3D873F4D" w14:textId="2A126890" w:rsidR="00AB3C4B" w:rsidRPr="00AB3C4B" w:rsidRDefault="00A04F3E" w:rsidP="00AB3C4B">
      <w:pPr>
        <w:pStyle w:val="ListParagraph"/>
        <w:numPr>
          <w:ilvl w:val="0"/>
          <w:numId w:val="3"/>
        </w:numPr>
        <w:spacing w:after="0" w:line="360" w:lineRule="auto"/>
        <w:rPr>
          <w:rFonts w:ascii="Times New Roman" w:hAnsi="Times New Roman" w:cs="Times New Roman"/>
          <w:i/>
          <w:iCs/>
          <w:sz w:val="24"/>
          <w:szCs w:val="24"/>
        </w:rPr>
      </w:pPr>
      <w:r w:rsidRPr="00AB3C4B">
        <w:rPr>
          <w:rFonts w:ascii="Times New Roman" w:hAnsi="Times New Roman" w:cs="Times New Roman"/>
          <w:i/>
          <w:iCs/>
          <w:sz w:val="24"/>
          <w:szCs w:val="24"/>
        </w:rPr>
        <w:t xml:space="preserve">Make sure you aren’t repeating objections within individual responses. Objections can be shared throughout the entirety of the responses as a group, though. If an individual response includes two different objections which share a smaller objection (For example, “This request violates attorney work product” within two larger objection blocks), then ensure that the smaller objection is only included within the individual response once. </w:t>
      </w:r>
    </w:p>
    <w:p w14:paraId="3A64F722" w14:textId="77777777" w:rsidR="00AB3C4B" w:rsidRPr="00AB3C4B" w:rsidRDefault="00A04F3E" w:rsidP="00AB3C4B">
      <w:pPr>
        <w:pStyle w:val="ListParagraph"/>
        <w:numPr>
          <w:ilvl w:val="0"/>
          <w:numId w:val="3"/>
        </w:numPr>
        <w:spacing w:after="0" w:line="360" w:lineRule="auto"/>
        <w:rPr>
          <w:rFonts w:ascii="Times New Roman" w:hAnsi="Times New Roman" w:cs="Times New Roman"/>
          <w:i/>
          <w:iCs/>
          <w:sz w:val="24"/>
          <w:szCs w:val="24"/>
        </w:rPr>
      </w:pPr>
      <w:r w:rsidRPr="00AB3C4B">
        <w:rPr>
          <w:rFonts w:ascii="Times New Roman" w:hAnsi="Times New Roman" w:cs="Times New Roman"/>
          <w:i/>
          <w:iCs/>
          <w:sz w:val="24"/>
          <w:szCs w:val="24"/>
        </w:rPr>
        <w:t>Also, do not include two objections from the same category of objections within an individual response.</w:t>
      </w:r>
      <w:r w:rsidR="00AB3C4B" w:rsidRPr="00AB3C4B">
        <w:rPr>
          <w:rFonts w:ascii="Times New Roman" w:hAnsi="Times New Roman" w:cs="Times New Roman"/>
          <w:i/>
          <w:iCs/>
          <w:sz w:val="24"/>
          <w:szCs w:val="24"/>
        </w:rPr>
        <w:t xml:space="preserve"> </w:t>
      </w:r>
    </w:p>
    <w:p w14:paraId="46684B02" w14:textId="34B77912" w:rsidR="00AB3C4B" w:rsidRPr="00AB3C4B" w:rsidRDefault="00AB3C4B" w:rsidP="00AB3C4B">
      <w:pPr>
        <w:pStyle w:val="ListParagraph"/>
        <w:numPr>
          <w:ilvl w:val="0"/>
          <w:numId w:val="3"/>
        </w:numPr>
        <w:spacing w:after="0" w:line="360" w:lineRule="auto"/>
        <w:rPr>
          <w:rFonts w:ascii="Times New Roman" w:hAnsi="Times New Roman" w:cs="Times New Roman"/>
          <w:b/>
          <w:bCs/>
          <w:i/>
          <w:iCs/>
          <w:sz w:val="24"/>
          <w:szCs w:val="24"/>
        </w:rPr>
      </w:pPr>
      <w:r w:rsidRPr="00AB3C4B">
        <w:rPr>
          <w:rFonts w:ascii="Times New Roman" w:hAnsi="Times New Roman" w:cs="Times New Roman"/>
          <w:i/>
          <w:iCs/>
          <w:sz w:val="24"/>
          <w:szCs w:val="24"/>
        </w:rPr>
        <w:t xml:space="preserve">Anytime an interrogatory asks a question, whether it’s a deconstruction, asking about causation, what caused the incident, what rules the defendant’s broke, directed at “YOU”, use objections </w:t>
      </w:r>
      <w:r w:rsidR="00844B4D">
        <w:rPr>
          <w:rFonts w:ascii="Times New Roman" w:hAnsi="Times New Roman" w:cs="Times New Roman"/>
          <w:i/>
          <w:iCs/>
          <w:sz w:val="24"/>
          <w:szCs w:val="24"/>
        </w:rPr>
        <w:t>under the labels</w:t>
      </w:r>
      <w:r w:rsidRPr="00AB3C4B">
        <w:rPr>
          <w:rFonts w:ascii="Times New Roman" w:hAnsi="Times New Roman" w:cs="Times New Roman"/>
          <w:i/>
          <w:iCs/>
          <w:sz w:val="24"/>
          <w:szCs w:val="24"/>
        </w:rPr>
        <w:t xml:space="preserve"> </w:t>
      </w:r>
      <w:r w:rsidRPr="00AB3C4B">
        <w:rPr>
          <w:rFonts w:ascii="Times New Roman" w:hAnsi="Times New Roman" w:cs="Times New Roman"/>
          <w:b/>
          <w:bCs/>
          <w:i/>
          <w:iCs/>
          <w:sz w:val="24"/>
          <w:szCs w:val="24"/>
        </w:rPr>
        <w:t xml:space="preserve">Legal reasoning,  Privilege against self-incrimination, and Calls for Expert Opinion. </w:t>
      </w:r>
      <w:r w:rsidR="00844B4D">
        <w:rPr>
          <w:rFonts w:ascii="Times New Roman" w:hAnsi="Times New Roman" w:cs="Times New Roman"/>
          <w:b/>
          <w:bCs/>
          <w:i/>
          <w:iCs/>
          <w:sz w:val="24"/>
          <w:szCs w:val="24"/>
        </w:rPr>
        <w:t>And don’t just use those phrases dude, I’m saying- use the objection blocks under those categories lower in the prompt. But don’t go crazy, just pick the applicable ones.</w:t>
      </w:r>
    </w:p>
    <w:p w14:paraId="59EAF292" w14:textId="4E69A83F" w:rsidR="00AB3C4B" w:rsidRPr="00BA178C" w:rsidRDefault="00AB3C4B" w:rsidP="00AB3C4B">
      <w:pPr>
        <w:pStyle w:val="ListParagraph"/>
        <w:numPr>
          <w:ilvl w:val="0"/>
          <w:numId w:val="3"/>
        </w:numPr>
        <w:spacing w:after="0" w:line="360" w:lineRule="auto"/>
        <w:rPr>
          <w:rFonts w:ascii="Times New Roman" w:hAnsi="Times New Roman" w:cs="Times New Roman"/>
          <w:b/>
          <w:bCs/>
          <w:i/>
          <w:iCs/>
          <w:sz w:val="24"/>
          <w:szCs w:val="24"/>
        </w:rPr>
      </w:pPr>
      <w:bookmarkStart w:id="0" w:name="_Hlk200624903"/>
      <w:r w:rsidRPr="00AB3C4B">
        <w:rPr>
          <w:rFonts w:ascii="Times New Roman" w:hAnsi="Times New Roman" w:cs="Times New Roman"/>
          <w:i/>
          <w:iCs/>
          <w:sz w:val="24"/>
          <w:szCs w:val="24"/>
        </w:rPr>
        <w:t>Be cautious about including broader objections that are similar. Try and only include one that encompasses multiple, rather than stacking a bunch that are similar.</w:t>
      </w:r>
    </w:p>
    <w:p w14:paraId="08C48574" w14:textId="36623E9A" w:rsidR="00BA178C" w:rsidRPr="00BA178C" w:rsidRDefault="00BA178C" w:rsidP="00BA178C">
      <w:pPr>
        <w:pStyle w:val="ListParagraph"/>
        <w:numPr>
          <w:ilvl w:val="0"/>
          <w:numId w:val="3"/>
        </w:numPr>
        <w:spacing w:after="0" w:line="360" w:lineRule="auto"/>
        <w:rPr>
          <w:rFonts w:ascii="Times New Roman" w:hAnsi="Times New Roman" w:cs="Times New Roman"/>
          <w:i/>
          <w:iCs/>
          <w:sz w:val="24"/>
          <w:szCs w:val="24"/>
        </w:rPr>
      </w:pPr>
      <w:r w:rsidRPr="00985F8E">
        <w:rPr>
          <w:rFonts w:ascii="Times New Roman" w:hAnsi="Times New Roman" w:cs="Times New Roman"/>
          <w:i/>
          <w:iCs/>
          <w:sz w:val="24"/>
          <w:szCs w:val="24"/>
        </w:rPr>
        <w:t>"The word 'Objection.' should appear only once at the very beginning of each response, and not before each objection."</w:t>
      </w:r>
    </w:p>
    <w:bookmarkEnd w:id="0"/>
    <w:p w14:paraId="77F29F18" w14:textId="2568A195" w:rsidR="00A04F3E" w:rsidRPr="006806AF" w:rsidRDefault="00A04F3E" w:rsidP="00A04F3E">
      <w:pPr>
        <w:spacing w:after="0" w:line="360" w:lineRule="auto"/>
        <w:rPr>
          <w:rFonts w:ascii="Times New Roman" w:hAnsi="Times New Roman" w:cs="Times New Roman"/>
          <w:i/>
          <w:iCs/>
          <w:sz w:val="24"/>
          <w:szCs w:val="24"/>
        </w:rPr>
      </w:pPr>
    </w:p>
    <w:p w14:paraId="18B28E0B" w14:textId="3393E40F" w:rsidR="00A04F3E" w:rsidRPr="006806AF" w:rsidRDefault="00A04F3E" w:rsidP="00A04F3E">
      <w:pPr>
        <w:spacing w:after="0" w:line="360" w:lineRule="auto"/>
        <w:rPr>
          <w:rFonts w:ascii="Times New Roman" w:hAnsi="Times New Roman" w:cs="Times New Roman"/>
          <w:b/>
          <w:bCs/>
          <w:sz w:val="24"/>
          <w:szCs w:val="24"/>
          <w:u w:val="single"/>
        </w:rPr>
      </w:pPr>
      <w:r w:rsidRPr="006806AF">
        <w:rPr>
          <w:rFonts w:ascii="Times New Roman" w:hAnsi="Times New Roman" w:cs="Times New Roman"/>
          <w:b/>
          <w:bCs/>
          <w:sz w:val="24"/>
          <w:szCs w:val="24"/>
          <w:u w:val="single"/>
        </w:rPr>
        <w:t xml:space="preserve"> </w:t>
      </w:r>
    </w:p>
    <w:p w14:paraId="14FFF71E" w14:textId="77777777" w:rsidR="00A04F3E" w:rsidRPr="006806AF" w:rsidRDefault="00A04F3E" w:rsidP="00A04F3E">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Asked and answered:</w:t>
      </w:r>
    </w:p>
    <w:p w14:paraId="3EE918BA" w14:textId="77777777"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Asked and answered in prior interrogatories.</w:t>
      </w:r>
    </w:p>
    <w:p w14:paraId="0F6665A6" w14:textId="77777777" w:rsidR="00A04F3E" w:rsidRPr="006806AF" w:rsidRDefault="00A04F3E" w:rsidP="00A04F3E">
      <w:pPr>
        <w:spacing w:after="0" w:line="360" w:lineRule="auto"/>
        <w:rPr>
          <w:rFonts w:ascii="Times New Roman" w:hAnsi="Times New Roman" w:cs="Times New Roman"/>
          <w:sz w:val="24"/>
          <w:szCs w:val="24"/>
        </w:rPr>
      </w:pPr>
    </w:p>
    <w:p w14:paraId="66564F1E" w14:textId="77777777" w:rsidR="00A04F3E" w:rsidRPr="006806AF" w:rsidRDefault="00A04F3E" w:rsidP="00A04F3E">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Attorney-client privilege:</w:t>
      </w:r>
    </w:p>
    <w:p w14:paraId="18262C7C" w14:textId="77777777"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interrogatory seeks information subject to the attorney-client privilege. The attorney-client privilege is broadly construed, and it extends to “factual information” and “legal advice.” (</w:t>
      </w:r>
      <w:r w:rsidRPr="006806AF">
        <w:rPr>
          <w:rFonts w:ascii="Times New Roman" w:hAnsi="Times New Roman" w:cs="Times New Roman"/>
          <w:i/>
          <w:iCs/>
          <w:sz w:val="24"/>
          <w:szCs w:val="24"/>
        </w:rPr>
        <w:t>Mitchell v. Superior Court</w:t>
      </w:r>
      <w:r w:rsidRPr="006806AF">
        <w:rPr>
          <w:rFonts w:ascii="Times New Roman" w:hAnsi="Times New Roman" w:cs="Times New Roman"/>
          <w:sz w:val="24"/>
          <w:szCs w:val="24"/>
        </w:rPr>
        <w:t xml:space="preserve"> (1984) 37 Cal.3d 591, 601).</w:t>
      </w:r>
    </w:p>
    <w:p w14:paraId="322306E7" w14:textId="28107296" w:rsidR="00A04F3E" w:rsidRPr="00A04F3E" w:rsidRDefault="00A04F3E" w:rsidP="00A04F3E">
      <w:pPr>
        <w:spacing w:after="0" w:line="360" w:lineRule="auto"/>
        <w:rPr>
          <w:rFonts w:ascii="Times New Roman" w:hAnsi="Times New Roman" w:cs="Times New Roman"/>
          <w:b/>
          <w:bCs/>
          <w:i/>
          <w:iCs/>
          <w:sz w:val="24"/>
          <w:szCs w:val="24"/>
        </w:rPr>
      </w:pPr>
      <w:r w:rsidRPr="00A04F3E">
        <w:rPr>
          <w:rFonts w:ascii="Times New Roman" w:hAnsi="Times New Roman" w:cs="Times New Roman"/>
          <w:b/>
          <w:bCs/>
          <w:i/>
          <w:iCs/>
          <w:sz w:val="24"/>
          <w:szCs w:val="24"/>
        </w:rPr>
        <w:t xml:space="preserve">Attorney work-product privilege: </w:t>
      </w:r>
    </w:p>
    <w:p w14:paraId="04CC9341" w14:textId="77777777"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lastRenderedPageBreak/>
        <w:t>This interrogatory seeks attorney work product, which Responding Party’s counsel has prepared in anticipation of trial; therefore, it violates the attorney work-product doctrine. (Code Civ. Proc. §§ 2018.020, 2018.030).</w:t>
      </w:r>
    </w:p>
    <w:p w14:paraId="4628E3F0" w14:textId="77777777" w:rsidR="00A04F3E" w:rsidRPr="006806AF" w:rsidRDefault="00A04F3E" w:rsidP="00A04F3E">
      <w:pPr>
        <w:spacing w:after="0" w:line="360" w:lineRule="auto"/>
        <w:rPr>
          <w:rFonts w:ascii="Times New Roman" w:hAnsi="Times New Roman" w:cs="Times New Roman"/>
          <w:b/>
          <w:bCs/>
          <w:i/>
          <w:iCs/>
          <w:sz w:val="24"/>
          <w:szCs w:val="24"/>
        </w:rPr>
      </w:pPr>
    </w:p>
    <w:p w14:paraId="29BD53B8" w14:textId="77777777" w:rsidR="00A04F3E" w:rsidRPr="006806AF" w:rsidRDefault="00A04F3E" w:rsidP="00A04F3E">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Burdensome, oppressive, overbroad:</w:t>
      </w:r>
    </w:p>
    <w:p w14:paraId="5F41720A" w14:textId="77777777"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interrogatory is so broad and unlimited in time and scope as to be an unwarranted annoyance and embarrassment to Responding Party, and, further, it is oppressive. To comply with this request would be an undue burden on, and expense to, Responding Party. The request is calculated to annoy and harass Responding Party. (See Code Civ. Proc. § 2030.090, subd. (b); </w:t>
      </w:r>
      <w:r w:rsidRPr="006806AF">
        <w:rPr>
          <w:rFonts w:ascii="Times New Roman" w:hAnsi="Times New Roman" w:cs="Times New Roman"/>
          <w:i/>
          <w:iCs/>
          <w:sz w:val="24"/>
          <w:szCs w:val="24"/>
        </w:rPr>
        <w:t>Columbia Broadcasting System, Inc. v. Superior Court</w:t>
      </w:r>
      <w:r w:rsidRPr="006806AF">
        <w:rPr>
          <w:rFonts w:ascii="Times New Roman" w:hAnsi="Times New Roman" w:cs="Times New Roman"/>
          <w:sz w:val="24"/>
          <w:szCs w:val="24"/>
        </w:rPr>
        <w:t xml:space="preserve"> (1968) 263 Cal.App.2d 12, 19). </w:t>
      </w:r>
    </w:p>
    <w:p w14:paraId="6CC0CC50" w14:textId="77777777" w:rsidR="00A04F3E" w:rsidRPr="006806AF" w:rsidRDefault="00A04F3E" w:rsidP="00A04F3E">
      <w:pPr>
        <w:spacing w:after="0" w:line="360" w:lineRule="auto"/>
        <w:rPr>
          <w:rFonts w:ascii="Times New Roman" w:hAnsi="Times New Roman" w:cs="Times New Roman"/>
          <w:sz w:val="24"/>
          <w:szCs w:val="24"/>
        </w:rPr>
      </w:pPr>
    </w:p>
    <w:p w14:paraId="3B6AFB5E" w14:textId="77777777" w:rsidR="00A04F3E" w:rsidRPr="006806AF" w:rsidRDefault="00A04F3E" w:rsidP="00A04F3E">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Collateral source rule:</w:t>
      </w:r>
    </w:p>
    <w:p w14:paraId="123A2AFB" w14:textId="77777777"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interrogatory seeks information not relevant to the subject matter of this lawsuit and is not calculated to lead to the discovery of admissible evidence, in violation of the collateral source rule. Furthermore, this interrogatory is an invasion of Responding Party’s right to privacy. (See </w:t>
      </w:r>
      <w:proofErr w:type="spellStart"/>
      <w:r w:rsidRPr="006806AF">
        <w:rPr>
          <w:rFonts w:ascii="Times New Roman" w:hAnsi="Times New Roman" w:cs="Times New Roman"/>
          <w:i/>
          <w:iCs/>
          <w:sz w:val="24"/>
          <w:szCs w:val="24"/>
        </w:rPr>
        <w:t>Hrnjak</w:t>
      </w:r>
      <w:proofErr w:type="spellEnd"/>
      <w:r w:rsidRPr="006806AF">
        <w:rPr>
          <w:rFonts w:ascii="Times New Roman" w:hAnsi="Times New Roman" w:cs="Times New Roman"/>
          <w:i/>
          <w:iCs/>
          <w:sz w:val="24"/>
          <w:szCs w:val="24"/>
        </w:rPr>
        <w:t xml:space="preserve"> v. </w:t>
      </w:r>
      <w:proofErr w:type="spellStart"/>
      <w:r w:rsidRPr="006806AF">
        <w:rPr>
          <w:rFonts w:ascii="Times New Roman" w:hAnsi="Times New Roman" w:cs="Times New Roman"/>
          <w:i/>
          <w:iCs/>
          <w:sz w:val="24"/>
          <w:szCs w:val="24"/>
        </w:rPr>
        <w:t>Graymar</w:t>
      </w:r>
      <w:proofErr w:type="spellEnd"/>
      <w:r w:rsidRPr="006806AF">
        <w:rPr>
          <w:rFonts w:ascii="Times New Roman" w:hAnsi="Times New Roman" w:cs="Times New Roman"/>
          <w:sz w:val="24"/>
          <w:szCs w:val="24"/>
        </w:rPr>
        <w:t xml:space="preserve"> (1971) 4 Cal.3d 1; </w:t>
      </w:r>
      <w:r w:rsidRPr="006806AF">
        <w:rPr>
          <w:rFonts w:ascii="Times New Roman" w:hAnsi="Times New Roman" w:cs="Times New Roman"/>
          <w:i/>
          <w:iCs/>
          <w:sz w:val="24"/>
          <w:szCs w:val="24"/>
        </w:rPr>
        <w:t>Pacific Gas &amp; Electric Company v. Superior Court</w:t>
      </w:r>
      <w:r w:rsidRPr="006806AF">
        <w:rPr>
          <w:rFonts w:ascii="Times New Roman" w:hAnsi="Times New Roman" w:cs="Times New Roman"/>
          <w:sz w:val="24"/>
          <w:szCs w:val="24"/>
        </w:rPr>
        <w:t xml:space="preserve"> (1994) 28 Cal.App.4th 174; </w:t>
      </w:r>
      <w:proofErr w:type="spellStart"/>
      <w:r w:rsidRPr="006806AF">
        <w:rPr>
          <w:rFonts w:ascii="Times New Roman" w:hAnsi="Times New Roman" w:cs="Times New Roman"/>
          <w:i/>
          <w:iCs/>
          <w:sz w:val="24"/>
          <w:szCs w:val="24"/>
        </w:rPr>
        <w:t>Helfend</w:t>
      </w:r>
      <w:proofErr w:type="spellEnd"/>
      <w:r w:rsidRPr="006806AF">
        <w:rPr>
          <w:rFonts w:ascii="Times New Roman" w:hAnsi="Times New Roman" w:cs="Times New Roman"/>
          <w:i/>
          <w:iCs/>
          <w:sz w:val="24"/>
          <w:szCs w:val="24"/>
        </w:rPr>
        <w:t xml:space="preserve"> v. SCRTD</w:t>
      </w:r>
      <w:r w:rsidRPr="006806AF">
        <w:rPr>
          <w:rFonts w:ascii="Times New Roman" w:hAnsi="Times New Roman" w:cs="Times New Roman"/>
          <w:sz w:val="24"/>
          <w:szCs w:val="24"/>
        </w:rPr>
        <w:t xml:space="preserve"> (1970) 2 Cal.3d 1). Responding Party may present evidence of Responding Party’s total medical bills, and defendant(s) may move post-trial for a reduction based on amounts paid. (</w:t>
      </w:r>
      <w:r w:rsidRPr="006806AF">
        <w:rPr>
          <w:rFonts w:ascii="Times New Roman" w:hAnsi="Times New Roman" w:cs="Times New Roman"/>
          <w:i/>
          <w:iCs/>
          <w:sz w:val="24"/>
          <w:szCs w:val="24"/>
        </w:rPr>
        <w:t>Hanif v. Housing Authority</w:t>
      </w:r>
      <w:r w:rsidRPr="006806AF">
        <w:rPr>
          <w:rFonts w:ascii="Times New Roman" w:hAnsi="Times New Roman" w:cs="Times New Roman"/>
          <w:sz w:val="24"/>
          <w:szCs w:val="24"/>
        </w:rPr>
        <w:t xml:space="preserve"> (1988) 200 Cal.App.3d 635; </w:t>
      </w:r>
      <w:proofErr w:type="spellStart"/>
      <w:r w:rsidRPr="006806AF">
        <w:rPr>
          <w:rFonts w:ascii="Times New Roman" w:hAnsi="Times New Roman" w:cs="Times New Roman"/>
          <w:i/>
          <w:iCs/>
          <w:sz w:val="24"/>
          <w:szCs w:val="24"/>
        </w:rPr>
        <w:t>Nishihama</w:t>
      </w:r>
      <w:proofErr w:type="spellEnd"/>
      <w:r w:rsidRPr="006806AF">
        <w:rPr>
          <w:rFonts w:ascii="Times New Roman" w:hAnsi="Times New Roman" w:cs="Times New Roman"/>
          <w:i/>
          <w:iCs/>
          <w:sz w:val="24"/>
          <w:szCs w:val="24"/>
        </w:rPr>
        <w:t xml:space="preserve"> v. City and County of San Francisco</w:t>
      </w:r>
      <w:r w:rsidRPr="006806AF">
        <w:rPr>
          <w:rFonts w:ascii="Times New Roman" w:hAnsi="Times New Roman" w:cs="Times New Roman"/>
          <w:sz w:val="24"/>
          <w:szCs w:val="24"/>
        </w:rPr>
        <w:t xml:space="preserve"> (2001) 93 Cal.App.4th 291, 309; </w:t>
      </w:r>
      <w:r w:rsidRPr="006806AF">
        <w:rPr>
          <w:rFonts w:ascii="Times New Roman" w:hAnsi="Times New Roman" w:cs="Times New Roman"/>
          <w:i/>
          <w:iCs/>
          <w:sz w:val="24"/>
          <w:szCs w:val="24"/>
        </w:rPr>
        <w:t xml:space="preserve">Greer v. </w:t>
      </w:r>
      <w:proofErr w:type="spellStart"/>
      <w:r w:rsidRPr="006806AF">
        <w:rPr>
          <w:rFonts w:ascii="Times New Roman" w:hAnsi="Times New Roman" w:cs="Times New Roman"/>
          <w:i/>
          <w:iCs/>
          <w:sz w:val="24"/>
          <w:szCs w:val="24"/>
        </w:rPr>
        <w:t>Buzgheia</w:t>
      </w:r>
      <w:proofErr w:type="spellEnd"/>
      <w:r w:rsidRPr="006806AF">
        <w:rPr>
          <w:rFonts w:ascii="Times New Roman" w:hAnsi="Times New Roman" w:cs="Times New Roman"/>
          <w:sz w:val="24"/>
          <w:szCs w:val="24"/>
        </w:rPr>
        <w:t xml:space="preserve"> (2006) 141 Cal.App.4th 1150, 1157; </w:t>
      </w:r>
      <w:r w:rsidRPr="006806AF">
        <w:rPr>
          <w:rFonts w:ascii="Times New Roman" w:hAnsi="Times New Roman" w:cs="Times New Roman"/>
          <w:i/>
          <w:iCs/>
          <w:sz w:val="24"/>
          <w:szCs w:val="24"/>
        </w:rPr>
        <w:t>Howell v. Hamilton Meats &amp; Provisions, Inc.</w:t>
      </w:r>
      <w:r w:rsidRPr="006806AF">
        <w:rPr>
          <w:rFonts w:ascii="Times New Roman" w:hAnsi="Times New Roman" w:cs="Times New Roman"/>
          <w:sz w:val="24"/>
          <w:szCs w:val="24"/>
        </w:rPr>
        <w:t xml:space="preserve"> (2011) 52 Cal.4th 541, 567 [leaving collateral source rule unchanged]).  </w:t>
      </w:r>
    </w:p>
    <w:p w14:paraId="0A1CD907" w14:textId="77777777" w:rsidR="00A04F3E"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interrogatory is improper because it seeks collateral source information. (</w:t>
      </w:r>
      <w:r w:rsidRPr="006806AF">
        <w:rPr>
          <w:rFonts w:ascii="Times New Roman" w:hAnsi="Times New Roman" w:cs="Times New Roman"/>
          <w:i/>
          <w:iCs/>
          <w:sz w:val="24"/>
          <w:szCs w:val="24"/>
        </w:rPr>
        <w:t>McKinney v. California Portland Cement</w:t>
      </w:r>
      <w:r w:rsidRPr="006806AF">
        <w:rPr>
          <w:rFonts w:ascii="Times New Roman" w:hAnsi="Times New Roman" w:cs="Times New Roman"/>
          <w:sz w:val="24"/>
          <w:szCs w:val="24"/>
        </w:rPr>
        <w:t xml:space="preserve"> (2002) 96 Cal.App.4th 1214, 1222; citing </w:t>
      </w:r>
      <w:r w:rsidRPr="006806AF">
        <w:rPr>
          <w:rFonts w:ascii="Times New Roman" w:hAnsi="Times New Roman" w:cs="Times New Roman"/>
          <w:i/>
          <w:iCs/>
          <w:sz w:val="24"/>
          <w:szCs w:val="24"/>
        </w:rPr>
        <w:t>Pacific Gas &amp; Electric Co. v. Superior Court</w:t>
      </w:r>
      <w:r w:rsidRPr="006806AF">
        <w:rPr>
          <w:rFonts w:ascii="Times New Roman" w:hAnsi="Times New Roman" w:cs="Times New Roman"/>
          <w:sz w:val="24"/>
          <w:szCs w:val="24"/>
        </w:rPr>
        <w:t xml:space="preserve"> (1994) 28 Cal.App.4th 174, 176).</w:t>
      </w:r>
    </w:p>
    <w:p w14:paraId="33C66FBC" w14:textId="77777777" w:rsidR="00A04F3E" w:rsidRDefault="00A04F3E" w:rsidP="00A04F3E">
      <w:pPr>
        <w:spacing w:after="0" w:line="360" w:lineRule="auto"/>
        <w:rPr>
          <w:rFonts w:ascii="Times New Roman" w:hAnsi="Times New Roman" w:cs="Times New Roman"/>
          <w:sz w:val="24"/>
          <w:szCs w:val="24"/>
        </w:rPr>
      </w:pPr>
    </w:p>
    <w:p w14:paraId="47C462FE" w14:textId="772F7180" w:rsidR="00A04F3E" w:rsidRPr="00A04F3E" w:rsidRDefault="00A04F3E" w:rsidP="00A04F3E">
      <w:pPr>
        <w:spacing w:after="0" w:line="360" w:lineRule="auto"/>
        <w:rPr>
          <w:rFonts w:ascii="Times New Roman" w:hAnsi="Times New Roman" w:cs="Times New Roman"/>
          <w:b/>
          <w:bCs/>
          <w:i/>
          <w:iCs/>
          <w:sz w:val="24"/>
          <w:szCs w:val="24"/>
        </w:rPr>
      </w:pPr>
      <w:r w:rsidRPr="00A04F3E">
        <w:rPr>
          <w:rFonts w:ascii="Times New Roman" w:hAnsi="Times New Roman" w:cs="Times New Roman"/>
          <w:b/>
          <w:bCs/>
          <w:i/>
          <w:iCs/>
          <w:sz w:val="24"/>
          <w:szCs w:val="24"/>
        </w:rPr>
        <w:t>Any interrogatory that is asking about medical bills, medical payments</w:t>
      </w:r>
      <w:r>
        <w:rPr>
          <w:rFonts w:ascii="Times New Roman" w:hAnsi="Times New Roman" w:cs="Times New Roman"/>
          <w:b/>
          <w:bCs/>
          <w:i/>
          <w:iCs/>
          <w:sz w:val="24"/>
          <w:szCs w:val="24"/>
        </w:rPr>
        <w:t>:</w:t>
      </w:r>
    </w:p>
    <w:p w14:paraId="0FBE9EFD" w14:textId="77777777"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lastRenderedPageBreak/>
        <w:t xml:space="preserve">Objection. This interrogatory seeks disclosure of protected information related to the payment of medical bills by a collateral source. </w:t>
      </w:r>
      <w:proofErr w:type="spellStart"/>
      <w:r w:rsidRPr="006806AF">
        <w:rPr>
          <w:rFonts w:ascii="Times New Roman" w:hAnsi="Times New Roman" w:cs="Times New Roman"/>
          <w:i/>
          <w:iCs/>
          <w:sz w:val="24"/>
          <w:szCs w:val="24"/>
        </w:rPr>
        <w:t>Gersick</w:t>
      </w:r>
      <w:proofErr w:type="spellEnd"/>
      <w:r w:rsidRPr="006806AF">
        <w:rPr>
          <w:rFonts w:ascii="Times New Roman" w:hAnsi="Times New Roman" w:cs="Times New Roman"/>
          <w:i/>
          <w:iCs/>
          <w:sz w:val="24"/>
          <w:szCs w:val="24"/>
        </w:rPr>
        <w:t xml:space="preserve"> v. Schilling</w:t>
      </w:r>
      <w:r w:rsidRPr="006806AF">
        <w:rPr>
          <w:rFonts w:ascii="Times New Roman" w:hAnsi="Times New Roman" w:cs="Times New Roman"/>
          <w:sz w:val="24"/>
          <w:szCs w:val="24"/>
        </w:rPr>
        <w:t xml:space="preserve"> (1950) 97 Cal.App.2d 641, 649-50.</w:t>
      </w:r>
    </w:p>
    <w:p w14:paraId="78CC4241" w14:textId="77777777" w:rsidR="00A04F3E" w:rsidRPr="006806AF" w:rsidRDefault="00A04F3E" w:rsidP="00A04F3E">
      <w:pPr>
        <w:spacing w:after="0" w:line="360" w:lineRule="auto"/>
        <w:rPr>
          <w:rFonts w:ascii="Times New Roman" w:hAnsi="Times New Roman" w:cs="Times New Roman"/>
          <w:sz w:val="24"/>
          <w:szCs w:val="24"/>
        </w:rPr>
      </w:pPr>
    </w:p>
    <w:p w14:paraId="4F16B7AA" w14:textId="77777777" w:rsidR="00A04F3E" w:rsidRPr="006806AF" w:rsidRDefault="00A04F3E" w:rsidP="00A04F3E">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Compilation required: </w:t>
      </w:r>
    </w:p>
    <w:p w14:paraId="3590DEEF" w14:textId="77777777"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interrogatory would necessitate the preparation of a compilation, abstract, audit, or summary from documents in Responding Party’s possession; because such preparation would be similarly burdensome and/or expensive to both the propounding and responding parties, Responding Party hereby offers to permit review of the following documents, [INSERT DOCUMENT NAME], from which propounding party can audit, inspect, copy, or summarize. Responding Party will make said document available for review upon reasonable request. (Code Civ. Proc. § 2030.230; </w:t>
      </w:r>
      <w:r w:rsidRPr="006806AF">
        <w:rPr>
          <w:rFonts w:ascii="Times New Roman" w:hAnsi="Times New Roman" w:cs="Times New Roman"/>
          <w:i/>
          <w:iCs/>
          <w:sz w:val="24"/>
          <w:szCs w:val="24"/>
        </w:rPr>
        <w:t>Brotsky v. State Bar</w:t>
      </w:r>
      <w:r w:rsidRPr="006806AF">
        <w:rPr>
          <w:rFonts w:ascii="Times New Roman" w:hAnsi="Times New Roman" w:cs="Times New Roman"/>
          <w:sz w:val="24"/>
          <w:szCs w:val="24"/>
        </w:rPr>
        <w:t xml:space="preserve"> (1962) 57 Cal.2d 287).</w:t>
      </w:r>
    </w:p>
    <w:p w14:paraId="11C53910" w14:textId="77777777" w:rsidR="00A04F3E" w:rsidRPr="006806AF" w:rsidRDefault="00A04F3E" w:rsidP="00A04F3E">
      <w:pPr>
        <w:spacing w:after="0" w:line="360" w:lineRule="auto"/>
        <w:rPr>
          <w:rFonts w:ascii="Times New Roman" w:hAnsi="Times New Roman" w:cs="Times New Roman"/>
          <w:sz w:val="24"/>
          <w:szCs w:val="24"/>
        </w:rPr>
      </w:pPr>
    </w:p>
    <w:p w14:paraId="562AE42B" w14:textId="77777777" w:rsidR="00A04F3E" w:rsidRPr="006806AF" w:rsidRDefault="00A04F3E" w:rsidP="00A04F3E">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Equally available:</w:t>
      </w:r>
    </w:p>
    <w:p w14:paraId="468018CB" w14:textId="77777777"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interrogatory is objectionable to the extent that it seeks information equally available to the propounding party. (See Code Civ. Proc. § 2030.220, subd. (c); </w:t>
      </w:r>
      <w:r w:rsidRPr="006806AF">
        <w:rPr>
          <w:rFonts w:ascii="Times New Roman" w:hAnsi="Times New Roman" w:cs="Times New Roman"/>
          <w:i/>
          <w:iCs/>
          <w:sz w:val="24"/>
          <w:szCs w:val="24"/>
        </w:rPr>
        <w:t>Alpine Mutual Water Co. v. Superior Court</w:t>
      </w:r>
      <w:r w:rsidRPr="006806AF">
        <w:rPr>
          <w:rFonts w:ascii="Times New Roman" w:hAnsi="Times New Roman" w:cs="Times New Roman"/>
          <w:sz w:val="24"/>
          <w:szCs w:val="24"/>
        </w:rPr>
        <w:t xml:space="preserve"> (1968) 259 Cal.App.2d 45). </w:t>
      </w:r>
    </w:p>
    <w:p w14:paraId="38368E41" w14:textId="77777777" w:rsidR="00A04F3E" w:rsidRPr="006806AF" w:rsidRDefault="00A04F3E" w:rsidP="00A04F3E">
      <w:pPr>
        <w:spacing w:after="0" w:line="360" w:lineRule="auto"/>
        <w:rPr>
          <w:rFonts w:ascii="Times New Roman" w:hAnsi="Times New Roman" w:cs="Times New Roman"/>
          <w:b/>
          <w:bCs/>
          <w:i/>
          <w:iCs/>
          <w:sz w:val="24"/>
          <w:szCs w:val="24"/>
        </w:rPr>
      </w:pPr>
    </w:p>
    <w:p w14:paraId="1FFC26DC" w14:textId="77777777" w:rsidR="00A04F3E" w:rsidRPr="006806AF" w:rsidRDefault="00A04F3E" w:rsidP="00A04F3E">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Continuing: </w:t>
      </w:r>
    </w:p>
    <w:p w14:paraId="276B9832" w14:textId="77777777" w:rsidR="00A04F3E" w:rsidRPr="006806AF" w:rsidRDefault="00A04F3E" w:rsidP="00A04F3E">
      <w:pPr>
        <w:pStyle w:val="ListParagraph"/>
        <w:numPr>
          <w:ilvl w:val="0"/>
          <w:numId w:val="1"/>
        </w:numPr>
        <w:spacing w:after="0" w:line="360" w:lineRule="auto"/>
        <w:rPr>
          <w:rFonts w:ascii="Times New Roman" w:hAnsi="Times New Roman" w:cs="Times New Roman"/>
          <w:b/>
          <w:bCs/>
          <w:i/>
          <w:iCs/>
          <w:sz w:val="24"/>
          <w:szCs w:val="24"/>
        </w:rPr>
      </w:pPr>
      <w:r w:rsidRPr="006806AF">
        <w:rPr>
          <w:rFonts w:ascii="Times New Roman" w:hAnsi="Times New Roman" w:cs="Times New Roman"/>
          <w:sz w:val="24"/>
          <w:szCs w:val="24"/>
        </w:rPr>
        <w:t>This is improper because it constitutes a “continuing” and requires Responding Party to supplement an answer that was initially correct with later acquired information. (Code Civ. Proc. § 2030.060, subd. (g).)</w:t>
      </w:r>
    </w:p>
    <w:p w14:paraId="65BA7A92" w14:textId="77777777" w:rsidR="00A04F3E" w:rsidRPr="006806AF" w:rsidRDefault="00A04F3E" w:rsidP="00A04F3E">
      <w:pPr>
        <w:spacing w:after="0" w:line="360" w:lineRule="auto"/>
        <w:rPr>
          <w:rFonts w:ascii="Times New Roman" w:hAnsi="Times New Roman" w:cs="Times New Roman"/>
          <w:sz w:val="24"/>
          <w:szCs w:val="24"/>
        </w:rPr>
      </w:pPr>
    </w:p>
    <w:p w14:paraId="3DFD2D06" w14:textId="77777777" w:rsidR="00A04F3E" w:rsidRPr="006806AF" w:rsidRDefault="00A04F3E" w:rsidP="00A04F3E">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Incorporation by reference:</w:t>
      </w:r>
    </w:p>
    <w:p w14:paraId="6E83AAFB" w14:textId="5F508765" w:rsidR="00A04F3E" w:rsidRPr="00A04F3E"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is improper because it is not “full and complete in and of itself,” in violation of Code of Civil Procedure section 2030.060, subdivision (d).</w:t>
      </w:r>
    </w:p>
    <w:p w14:paraId="4C4342B0" w14:textId="77777777" w:rsidR="00A04F3E" w:rsidRPr="006806AF" w:rsidRDefault="00A04F3E" w:rsidP="00A04F3E">
      <w:pPr>
        <w:spacing w:after="0" w:line="360" w:lineRule="auto"/>
        <w:rPr>
          <w:rFonts w:ascii="Times New Roman" w:hAnsi="Times New Roman" w:cs="Times New Roman"/>
          <w:b/>
          <w:bCs/>
          <w:i/>
          <w:iCs/>
          <w:sz w:val="24"/>
          <w:szCs w:val="24"/>
        </w:rPr>
      </w:pPr>
    </w:p>
    <w:p w14:paraId="4B623C2B" w14:textId="77777777" w:rsidR="00A04F3E" w:rsidRPr="006806AF" w:rsidRDefault="00A04F3E" w:rsidP="00A04F3E">
      <w:pPr>
        <w:spacing w:after="0" w:line="360" w:lineRule="auto"/>
        <w:rPr>
          <w:rFonts w:ascii="Times New Roman" w:hAnsi="Times New Roman" w:cs="Times New Roman"/>
          <w:sz w:val="24"/>
          <w:szCs w:val="24"/>
        </w:rPr>
      </w:pPr>
      <w:r w:rsidRPr="006806AF">
        <w:rPr>
          <w:rFonts w:ascii="Times New Roman" w:hAnsi="Times New Roman" w:cs="Times New Roman"/>
          <w:b/>
          <w:bCs/>
          <w:i/>
          <w:iCs/>
          <w:sz w:val="24"/>
          <w:szCs w:val="24"/>
        </w:rPr>
        <w:t>More than thirty-five special interrogatories:</w:t>
      </w:r>
    </w:p>
    <w:p w14:paraId="12AB1C7C" w14:textId="77777777"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fails to comply with Code of Civil Procedure section 2030.030, subdivision (b), as the propounding party has exceeded the limit of special interrogatories. A party may not </w:t>
      </w:r>
      <w:r w:rsidRPr="006806AF">
        <w:rPr>
          <w:rFonts w:ascii="Times New Roman" w:hAnsi="Times New Roman" w:cs="Times New Roman"/>
          <w:sz w:val="24"/>
          <w:szCs w:val="24"/>
        </w:rPr>
        <w:lastRenderedPageBreak/>
        <w:t>serve more than thirty-five (35) total special interrogatories without a supporting declaration setting forth the need for the additional interrogatories. (Code Civ. Proc. § 2030.030).</w:t>
      </w:r>
    </w:p>
    <w:p w14:paraId="497072E0" w14:textId="77777777" w:rsidR="00A04F3E" w:rsidRPr="006806AF" w:rsidRDefault="00A04F3E" w:rsidP="00A04F3E">
      <w:pPr>
        <w:spacing w:after="0" w:line="360" w:lineRule="auto"/>
        <w:rPr>
          <w:rFonts w:ascii="Times New Roman" w:hAnsi="Times New Roman" w:cs="Times New Roman"/>
          <w:sz w:val="24"/>
          <w:szCs w:val="24"/>
        </w:rPr>
      </w:pPr>
    </w:p>
    <w:p w14:paraId="79F3CD32" w14:textId="77777777" w:rsidR="00A04F3E" w:rsidRPr="006806AF" w:rsidRDefault="00A04F3E" w:rsidP="00A04F3E">
      <w:pPr>
        <w:spacing w:after="0" w:line="360" w:lineRule="auto"/>
        <w:rPr>
          <w:rFonts w:ascii="Times New Roman" w:hAnsi="Times New Roman" w:cs="Times New Roman"/>
          <w:sz w:val="24"/>
          <w:szCs w:val="24"/>
        </w:rPr>
      </w:pPr>
      <w:r w:rsidRPr="006806AF">
        <w:rPr>
          <w:rFonts w:ascii="Times New Roman" w:hAnsi="Times New Roman" w:cs="Times New Roman"/>
          <w:b/>
          <w:bCs/>
          <w:i/>
          <w:iCs/>
          <w:sz w:val="24"/>
          <w:szCs w:val="24"/>
        </w:rPr>
        <w:t xml:space="preserve">Prefatory instructions: </w:t>
      </w:r>
    </w:p>
    <w:p w14:paraId="1913DE7E" w14:textId="77777777"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set of discovery utilizes preliminary instructions, in violation of Code of Civil Procedure section 2030.060, subdivision (d).    </w:t>
      </w:r>
    </w:p>
    <w:p w14:paraId="2A4B4DD5" w14:textId="77777777" w:rsidR="00A04F3E" w:rsidRPr="006806AF" w:rsidRDefault="00A04F3E" w:rsidP="00A04F3E">
      <w:pPr>
        <w:spacing w:after="0" w:line="360" w:lineRule="auto"/>
        <w:rPr>
          <w:rFonts w:ascii="Times New Roman" w:hAnsi="Times New Roman" w:cs="Times New Roman"/>
          <w:sz w:val="24"/>
          <w:szCs w:val="24"/>
        </w:rPr>
      </w:pPr>
    </w:p>
    <w:p w14:paraId="25F5B7DA" w14:textId="77777777" w:rsidR="00A04F3E" w:rsidRPr="006806AF" w:rsidRDefault="00A04F3E" w:rsidP="00A04F3E">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Specially defined term(s):</w:t>
      </w:r>
    </w:p>
    <w:p w14:paraId="5E9AE702" w14:textId="77777777"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is improper because the specially defined term(s) carried over from - to [is/are] not capitalized. (Civ. Code § 2030.060, subd. (e)).</w:t>
      </w:r>
    </w:p>
    <w:p w14:paraId="779D1622" w14:textId="77777777" w:rsidR="00A04F3E" w:rsidRPr="006806AF" w:rsidRDefault="00A04F3E" w:rsidP="00A04F3E">
      <w:pPr>
        <w:spacing w:after="0" w:line="360" w:lineRule="auto"/>
        <w:rPr>
          <w:rFonts w:ascii="Times New Roman" w:hAnsi="Times New Roman" w:cs="Times New Roman"/>
          <w:sz w:val="24"/>
          <w:szCs w:val="24"/>
        </w:rPr>
      </w:pPr>
    </w:p>
    <w:p w14:paraId="60671175" w14:textId="77777777" w:rsidR="00A04F3E" w:rsidRPr="006806AF" w:rsidRDefault="00A04F3E" w:rsidP="00A04F3E">
      <w:pPr>
        <w:spacing w:after="0" w:line="360" w:lineRule="auto"/>
        <w:rPr>
          <w:rFonts w:ascii="Times New Roman" w:hAnsi="Times New Roman" w:cs="Times New Roman"/>
          <w:b/>
          <w:bCs/>
          <w:i/>
          <w:iCs/>
          <w:sz w:val="24"/>
          <w:szCs w:val="24"/>
        </w:rPr>
      </w:pPr>
      <w:bookmarkStart w:id="1" w:name="_Hlk81993837"/>
      <w:r w:rsidRPr="006806AF">
        <w:rPr>
          <w:rFonts w:ascii="Times New Roman" w:hAnsi="Times New Roman" w:cs="Times New Roman"/>
          <w:b/>
          <w:bCs/>
          <w:i/>
          <w:iCs/>
          <w:sz w:val="24"/>
          <w:szCs w:val="24"/>
        </w:rPr>
        <w:t xml:space="preserve">Subparts, compound, conjunctive, disjunctive: </w:t>
      </w:r>
      <w:bookmarkEnd w:id="1"/>
    </w:p>
    <w:p w14:paraId="6D15A020" w14:textId="77777777"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bookmarkStart w:id="2" w:name="_Hlk82006452"/>
      <w:r w:rsidRPr="006806AF">
        <w:rPr>
          <w:rFonts w:ascii="Times New Roman" w:hAnsi="Times New Roman" w:cs="Times New Roman"/>
          <w:sz w:val="24"/>
          <w:szCs w:val="24"/>
        </w:rPr>
        <w:t>This interrogatory contains subparts, or a compound, conjunctive, or disjunctive question, in violation of Code of Civil Procedure section 2030.060, subdivision (f).</w:t>
      </w:r>
    </w:p>
    <w:bookmarkEnd w:id="2"/>
    <w:p w14:paraId="77E9B58D" w14:textId="77777777" w:rsidR="00A04F3E" w:rsidRPr="006806AF" w:rsidRDefault="00A04F3E" w:rsidP="00A04F3E">
      <w:pPr>
        <w:spacing w:after="0" w:line="360" w:lineRule="auto"/>
        <w:rPr>
          <w:rFonts w:ascii="Times New Roman" w:hAnsi="Times New Roman" w:cs="Times New Roman"/>
          <w:b/>
          <w:bCs/>
          <w:i/>
          <w:iCs/>
          <w:sz w:val="24"/>
          <w:szCs w:val="24"/>
        </w:rPr>
      </w:pPr>
    </w:p>
    <w:p w14:paraId="5BE6E3D9" w14:textId="77777777" w:rsidR="00A04F3E" w:rsidRPr="006806AF" w:rsidRDefault="00A04F3E" w:rsidP="00A04F3E">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Preliminary instructions:</w:t>
      </w:r>
    </w:p>
    <w:p w14:paraId="43BFDEF6" w14:textId="77777777"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Code of Civil Procedure section 2030.060, subdivision (d) prohibits the use of preliminary instructions, except for those approved by the Judicial Council. Additionally, a party responding to interrogatories must respond in writing separately to each interrogatory. (Code Civ. Proc. § 2030.210, subd. (a)). </w:t>
      </w:r>
    </w:p>
    <w:p w14:paraId="32D9691F" w14:textId="77777777" w:rsidR="00A04F3E" w:rsidRPr="006806AF" w:rsidRDefault="00A04F3E" w:rsidP="00A04F3E">
      <w:pPr>
        <w:spacing w:after="0" w:line="360" w:lineRule="auto"/>
        <w:rPr>
          <w:rFonts w:ascii="Times New Roman" w:hAnsi="Times New Roman" w:cs="Times New Roman"/>
          <w:sz w:val="24"/>
          <w:szCs w:val="24"/>
        </w:rPr>
      </w:pPr>
    </w:p>
    <w:p w14:paraId="59A2975D" w14:textId="77777777" w:rsidR="00A04F3E" w:rsidRPr="006806AF" w:rsidRDefault="00A04F3E" w:rsidP="00A04F3E">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Partial responses: </w:t>
      </w:r>
    </w:p>
    <w:p w14:paraId="4D95A11A" w14:textId="77777777"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interrogatory includes partial responses, which is inappropriate. (</w:t>
      </w:r>
      <w:r w:rsidRPr="006806AF">
        <w:rPr>
          <w:rFonts w:ascii="Times New Roman" w:hAnsi="Times New Roman" w:cs="Times New Roman"/>
          <w:i/>
          <w:iCs/>
          <w:sz w:val="24"/>
          <w:szCs w:val="24"/>
        </w:rPr>
        <w:t>Deyo v. Kilbourne</w:t>
      </w:r>
      <w:r w:rsidRPr="006806AF">
        <w:rPr>
          <w:rFonts w:ascii="Times New Roman" w:hAnsi="Times New Roman" w:cs="Times New Roman"/>
          <w:sz w:val="24"/>
          <w:szCs w:val="24"/>
        </w:rPr>
        <w:t xml:space="preserve"> (1978) 84 Cal.App.3d 771,783 ["Where the question is specific and explicit, an answer which supplies only a portion of the information sought is wholly insufficient. Likewise, a party may not provide deftly worded conclusionary answers designed to evade a series of explicit questions."]).   </w:t>
      </w:r>
    </w:p>
    <w:p w14:paraId="005245E1" w14:textId="77777777" w:rsidR="00A04F3E" w:rsidRPr="006806AF" w:rsidRDefault="00A04F3E" w:rsidP="00A04F3E">
      <w:pPr>
        <w:spacing w:after="0" w:line="360" w:lineRule="auto"/>
        <w:rPr>
          <w:rFonts w:ascii="Times New Roman" w:hAnsi="Times New Roman" w:cs="Times New Roman"/>
          <w:sz w:val="24"/>
          <w:szCs w:val="24"/>
        </w:rPr>
      </w:pPr>
    </w:p>
    <w:p w14:paraId="6F4F7DA3" w14:textId="77777777" w:rsidR="00A04F3E" w:rsidRPr="006806AF" w:rsidRDefault="00A04F3E" w:rsidP="00A04F3E">
      <w:pPr>
        <w:spacing w:after="0" w:line="360" w:lineRule="auto"/>
        <w:rPr>
          <w:rFonts w:ascii="Times New Roman" w:hAnsi="Times New Roman" w:cs="Times New Roman"/>
          <w:sz w:val="24"/>
          <w:szCs w:val="24"/>
        </w:rPr>
      </w:pPr>
      <w:r w:rsidRPr="006806AF">
        <w:rPr>
          <w:rFonts w:ascii="Times New Roman" w:hAnsi="Times New Roman" w:cs="Times New Roman"/>
          <w:b/>
          <w:bCs/>
          <w:i/>
          <w:iCs/>
          <w:sz w:val="24"/>
          <w:szCs w:val="24"/>
        </w:rPr>
        <w:t>Irrelevant:</w:t>
      </w:r>
    </w:p>
    <w:p w14:paraId="5793B932" w14:textId="77777777"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lastRenderedPageBreak/>
        <w:t xml:space="preserve">This interrogatory seeks information that is irrelevant to the subject matter of this suit, and the information sought is not reasonably calculated to lead to the discovery of admissible evidence. (Code Civ. Proc. § 2017.010). </w:t>
      </w:r>
    </w:p>
    <w:p w14:paraId="6698A982" w14:textId="77777777" w:rsidR="00A04F3E" w:rsidRPr="006806AF" w:rsidRDefault="00A04F3E" w:rsidP="00A04F3E">
      <w:pPr>
        <w:spacing w:after="0" w:line="360" w:lineRule="auto"/>
        <w:rPr>
          <w:rFonts w:ascii="Times New Roman" w:hAnsi="Times New Roman" w:cs="Times New Roman"/>
          <w:sz w:val="24"/>
          <w:szCs w:val="24"/>
        </w:rPr>
      </w:pPr>
    </w:p>
    <w:p w14:paraId="09ABC648" w14:textId="77777777" w:rsidR="00A04F3E" w:rsidRPr="006806AF" w:rsidRDefault="00A04F3E" w:rsidP="00A04F3E">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Medical records/medical history:</w:t>
      </w:r>
    </w:p>
    <w:p w14:paraId="1DE27AC5" w14:textId="77777777"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interrogatory seeks to discover medical treatment or medical records that are entirely unrelated to the issues in this litigation, in violation of Responding Party’s constitutionally protected right to privacy under Article I, section I of the California Constitution. (</w:t>
      </w:r>
      <w:r w:rsidRPr="006806AF">
        <w:rPr>
          <w:rFonts w:ascii="Times New Roman" w:hAnsi="Times New Roman" w:cs="Times New Roman"/>
          <w:i/>
          <w:iCs/>
          <w:sz w:val="24"/>
          <w:szCs w:val="24"/>
        </w:rPr>
        <w:t>Vinson v. Superior Court</w:t>
      </w:r>
      <w:r w:rsidRPr="006806AF">
        <w:rPr>
          <w:rFonts w:ascii="Times New Roman" w:hAnsi="Times New Roman" w:cs="Times New Roman"/>
          <w:sz w:val="24"/>
          <w:szCs w:val="24"/>
        </w:rPr>
        <w:t xml:space="preserve"> (1987) 43 Cal.3d 833, 842; </w:t>
      </w:r>
      <w:r w:rsidRPr="006806AF">
        <w:rPr>
          <w:rFonts w:ascii="Times New Roman" w:hAnsi="Times New Roman" w:cs="Times New Roman"/>
          <w:i/>
          <w:iCs/>
          <w:sz w:val="24"/>
          <w:szCs w:val="24"/>
        </w:rPr>
        <w:t>Davis v. Superior Court</w:t>
      </w:r>
      <w:r w:rsidRPr="006806AF">
        <w:rPr>
          <w:rFonts w:ascii="Times New Roman" w:hAnsi="Times New Roman" w:cs="Times New Roman"/>
          <w:sz w:val="24"/>
          <w:szCs w:val="24"/>
        </w:rPr>
        <w:t xml:space="preserve"> (1992) 7 Cal.App.4th 1008, 1014-16). To require a party to delineate his or her entire medical history is not reasonably calculated to lead to the discovery of admissible evidence and is overbroad. (</w:t>
      </w:r>
      <w:r w:rsidRPr="006806AF">
        <w:rPr>
          <w:rFonts w:ascii="Times New Roman" w:hAnsi="Times New Roman" w:cs="Times New Roman"/>
          <w:i/>
          <w:iCs/>
          <w:sz w:val="24"/>
          <w:szCs w:val="24"/>
        </w:rPr>
        <w:t>Britt v. Superior Court</w:t>
      </w:r>
      <w:r w:rsidRPr="006806AF">
        <w:rPr>
          <w:rFonts w:ascii="Times New Roman" w:hAnsi="Times New Roman" w:cs="Times New Roman"/>
          <w:sz w:val="24"/>
          <w:szCs w:val="24"/>
        </w:rPr>
        <w:t xml:space="preserve"> (1978) 20 Cal.3d 844, 864). Although an injured </w:t>
      </w:r>
      <w:proofErr w:type="gramStart"/>
      <w:r w:rsidRPr="006806AF">
        <w:rPr>
          <w:rFonts w:ascii="Times New Roman" w:hAnsi="Times New Roman" w:cs="Times New Roman"/>
          <w:sz w:val="24"/>
          <w:szCs w:val="24"/>
        </w:rPr>
        <w:t>parties’</w:t>
      </w:r>
      <w:proofErr w:type="gramEnd"/>
      <w:r w:rsidRPr="006806AF">
        <w:rPr>
          <w:rFonts w:ascii="Times New Roman" w:hAnsi="Times New Roman" w:cs="Times New Roman"/>
          <w:sz w:val="24"/>
          <w:szCs w:val="24"/>
        </w:rPr>
        <w:t xml:space="preserve"> privacy rights are subordinate to the right of discovery in an injury case, this is true only with respect to relevant medical history. (</w:t>
      </w:r>
      <w:r w:rsidRPr="006806AF">
        <w:rPr>
          <w:rFonts w:ascii="Times New Roman" w:hAnsi="Times New Roman" w:cs="Times New Roman"/>
          <w:i/>
          <w:iCs/>
          <w:sz w:val="24"/>
          <w:szCs w:val="24"/>
        </w:rPr>
        <w:t>Vinson</w:t>
      </w:r>
      <w:r w:rsidRPr="006806AF">
        <w:rPr>
          <w:rFonts w:ascii="Times New Roman" w:hAnsi="Times New Roman" w:cs="Times New Roman"/>
          <w:sz w:val="24"/>
          <w:szCs w:val="24"/>
        </w:rPr>
        <w:t xml:space="preserve">, supra, 43 Cal.3d at p. 842). Thus, the disclosure of all of a party’s medical history and medical records cannot be compelled, even though they may, in some sense, be relevant to the substantive issues of litigation. (In re </w:t>
      </w:r>
      <w:proofErr w:type="spellStart"/>
      <w:r w:rsidRPr="006806AF">
        <w:rPr>
          <w:rFonts w:ascii="Times New Roman" w:hAnsi="Times New Roman" w:cs="Times New Roman"/>
          <w:i/>
          <w:iCs/>
          <w:sz w:val="24"/>
          <w:szCs w:val="24"/>
        </w:rPr>
        <w:t>Lifschutz</w:t>
      </w:r>
      <w:proofErr w:type="spellEnd"/>
      <w:r w:rsidRPr="006806AF">
        <w:rPr>
          <w:rFonts w:ascii="Times New Roman" w:hAnsi="Times New Roman" w:cs="Times New Roman"/>
          <w:sz w:val="24"/>
          <w:szCs w:val="24"/>
        </w:rPr>
        <w:t xml:space="preserve"> (1970) 2 Cal.3d 415, 435). Rather, only medical records that are directly relevant to the lawsuit are discoverable. (</w:t>
      </w:r>
      <w:r w:rsidRPr="006806AF">
        <w:rPr>
          <w:rFonts w:ascii="Times New Roman" w:hAnsi="Times New Roman" w:cs="Times New Roman"/>
          <w:i/>
          <w:iCs/>
          <w:sz w:val="24"/>
          <w:szCs w:val="24"/>
        </w:rPr>
        <w:t>Ibid</w:t>
      </w:r>
      <w:r w:rsidRPr="006806AF">
        <w:rPr>
          <w:rFonts w:ascii="Times New Roman" w:hAnsi="Times New Roman" w:cs="Times New Roman"/>
          <w:sz w:val="24"/>
          <w:szCs w:val="24"/>
        </w:rPr>
        <w:t>). Consequently, Responding Party can still assert [his/her] right of privacy to protect the disclosure of medical information not directly relevant to the lawsuit.</w:t>
      </w:r>
    </w:p>
    <w:p w14:paraId="386D2EB9" w14:textId="77777777"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Plaintiff objects to identifying any healthcare providers who examined or treated her prior to the incident based on the fact that any such information, should it exist, is privileged from disclosure. The interrogatory seeks to invade Plaintiff's right of privacy, is not reasonably calculated to lead to the discovery of admissible </w:t>
      </w:r>
      <w:proofErr w:type="gramStart"/>
      <w:r w:rsidRPr="006806AF">
        <w:rPr>
          <w:rFonts w:ascii="Times New Roman" w:hAnsi="Times New Roman" w:cs="Times New Roman"/>
          <w:sz w:val="24"/>
          <w:szCs w:val="24"/>
        </w:rPr>
        <w:t>evidence, and</w:t>
      </w:r>
      <w:proofErr w:type="gramEnd"/>
      <w:r w:rsidRPr="006806AF">
        <w:rPr>
          <w:rFonts w:ascii="Times New Roman" w:hAnsi="Times New Roman" w:cs="Times New Roman"/>
          <w:sz w:val="24"/>
          <w:szCs w:val="24"/>
        </w:rPr>
        <w:t xml:space="preserve"> is irrelevant to the subject matter of this action in that it seeks disclosure of Plaintiff's medical history.</w:t>
      </w:r>
    </w:p>
    <w:p w14:paraId="4FA64CA4" w14:textId="77777777" w:rsidR="00A04F3E" w:rsidRPr="006806AF" w:rsidRDefault="00A04F3E" w:rsidP="00A04F3E">
      <w:pPr>
        <w:spacing w:after="0" w:line="360" w:lineRule="auto"/>
        <w:rPr>
          <w:rFonts w:ascii="Times New Roman" w:hAnsi="Times New Roman" w:cs="Times New Roman"/>
          <w:sz w:val="24"/>
          <w:szCs w:val="24"/>
        </w:rPr>
      </w:pPr>
    </w:p>
    <w:p w14:paraId="39D71CD3" w14:textId="77777777" w:rsidR="00A04F3E" w:rsidRPr="006806AF" w:rsidRDefault="00A04F3E" w:rsidP="00A04F3E">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Nonparty’s private information:</w:t>
      </w:r>
    </w:p>
    <w:p w14:paraId="0C799E0D" w14:textId="77777777"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interrogatory seeks the private information of a nonparty. Any party to an action may assert a nonparty’s constitutional right to privacy. (</w:t>
      </w:r>
      <w:r w:rsidRPr="006806AF">
        <w:rPr>
          <w:rFonts w:ascii="Times New Roman" w:hAnsi="Times New Roman" w:cs="Times New Roman"/>
          <w:i/>
          <w:iCs/>
          <w:sz w:val="24"/>
          <w:szCs w:val="24"/>
        </w:rPr>
        <w:t>Valley Bank of Nevada v. Superior Court</w:t>
      </w:r>
      <w:r w:rsidRPr="006806AF">
        <w:rPr>
          <w:rFonts w:ascii="Times New Roman" w:hAnsi="Times New Roman" w:cs="Times New Roman"/>
          <w:sz w:val="24"/>
          <w:szCs w:val="24"/>
        </w:rPr>
        <w:t xml:space="preserve"> (</w:t>
      </w:r>
      <w:r w:rsidRPr="006806AF">
        <w:rPr>
          <w:rFonts w:ascii="Times New Roman" w:hAnsi="Times New Roman" w:cs="Times New Roman"/>
          <w:i/>
          <w:iCs/>
          <w:sz w:val="24"/>
          <w:szCs w:val="24"/>
        </w:rPr>
        <w:t>Barkett</w:t>
      </w:r>
      <w:r w:rsidRPr="006806AF">
        <w:rPr>
          <w:rFonts w:ascii="Times New Roman" w:hAnsi="Times New Roman" w:cs="Times New Roman"/>
          <w:sz w:val="24"/>
          <w:szCs w:val="24"/>
        </w:rPr>
        <w:t xml:space="preserve">) (1975) 15 Cal.3d 652, 658; </w:t>
      </w:r>
      <w:r w:rsidRPr="006806AF">
        <w:rPr>
          <w:rFonts w:ascii="Times New Roman" w:hAnsi="Times New Roman" w:cs="Times New Roman"/>
          <w:i/>
          <w:iCs/>
          <w:sz w:val="24"/>
          <w:szCs w:val="24"/>
        </w:rPr>
        <w:t>Pioneer Electronics (USA), Inc. v. Superior Court</w:t>
      </w:r>
      <w:r w:rsidRPr="006806AF">
        <w:rPr>
          <w:rFonts w:ascii="Times New Roman" w:hAnsi="Times New Roman" w:cs="Times New Roman"/>
          <w:sz w:val="24"/>
          <w:szCs w:val="24"/>
        </w:rPr>
        <w:t xml:space="preserve"> (</w:t>
      </w:r>
      <w:r w:rsidRPr="006806AF">
        <w:rPr>
          <w:rFonts w:ascii="Times New Roman" w:hAnsi="Times New Roman" w:cs="Times New Roman"/>
          <w:i/>
          <w:iCs/>
          <w:sz w:val="24"/>
          <w:szCs w:val="24"/>
        </w:rPr>
        <w:t>Olmstead</w:t>
      </w:r>
      <w:r w:rsidRPr="006806AF">
        <w:rPr>
          <w:rFonts w:ascii="Times New Roman" w:hAnsi="Times New Roman" w:cs="Times New Roman"/>
          <w:sz w:val="24"/>
          <w:szCs w:val="24"/>
        </w:rPr>
        <w:t xml:space="preserve">) (2007) 40 Cal.4th 360, 371-75).  Furthermore, even assuming </w:t>
      </w:r>
      <w:r w:rsidRPr="006806AF">
        <w:rPr>
          <w:rFonts w:ascii="Times New Roman" w:hAnsi="Times New Roman" w:cs="Times New Roman"/>
          <w:sz w:val="24"/>
          <w:szCs w:val="24"/>
        </w:rPr>
        <w:lastRenderedPageBreak/>
        <w:t xml:space="preserve">the information sought by this </w:t>
      </w:r>
      <w:proofErr w:type="gramStart"/>
      <w:r w:rsidRPr="006806AF">
        <w:rPr>
          <w:rFonts w:ascii="Times New Roman" w:hAnsi="Times New Roman" w:cs="Times New Roman"/>
          <w:sz w:val="24"/>
          <w:szCs w:val="24"/>
        </w:rPr>
        <w:t>interrogatory</w:t>
      </w:r>
      <w:proofErr w:type="gramEnd"/>
      <w:r w:rsidRPr="006806AF">
        <w:rPr>
          <w:rFonts w:ascii="Times New Roman" w:hAnsi="Times New Roman" w:cs="Times New Roman"/>
          <w:sz w:val="24"/>
          <w:szCs w:val="24"/>
        </w:rPr>
        <w:t xml:space="preserve"> </w:t>
      </w:r>
      <w:proofErr w:type="gramStart"/>
      <w:r w:rsidRPr="006806AF">
        <w:rPr>
          <w:rFonts w:ascii="Times New Roman" w:hAnsi="Times New Roman" w:cs="Times New Roman"/>
          <w:sz w:val="24"/>
          <w:szCs w:val="24"/>
        </w:rPr>
        <w:t>were</w:t>
      </w:r>
      <w:proofErr w:type="gramEnd"/>
      <w:r w:rsidRPr="006806AF">
        <w:rPr>
          <w:rFonts w:ascii="Times New Roman" w:hAnsi="Times New Roman" w:cs="Times New Roman"/>
          <w:sz w:val="24"/>
          <w:szCs w:val="24"/>
        </w:rPr>
        <w:t xml:space="preserve"> relevant to the subject matter of this litigation, the nonparty must be given notice and an opportunity to object to such disclosure. (Id. at 637). No such notice or opportunity has been given in this instance.</w:t>
      </w:r>
    </w:p>
    <w:p w14:paraId="30B11292" w14:textId="77777777" w:rsidR="00A04F3E" w:rsidRPr="006806AF" w:rsidRDefault="00A04F3E" w:rsidP="00A04F3E">
      <w:pPr>
        <w:spacing w:after="0" w:line="360" w:lineRule="auto"/>
        <w:rPr>
          <w:rFonts w:ascii="Times New Roman" w:hAnsi="Times New Roman" w:cs="Times New Roman"/>
          <w:sz w:val="24"/>
          <w:szCs w:val="24"/>
        </w:rPr>
      </w:pPr>
    </w:p>
    <w:p w14:paraId="14222736" w14:textId="30E846A5" w:rsidR="00A04F3E" w:rsidRPr="006806AF" w:rsidRDefault="00A04F3E" w:rsidP="00A04F3E">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Legal reasoning: </w:t>
      </w:r>
    </w:p>
    <w:p w14:paraId="2589F1D5" w14:textId="77777777"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interrogatory seeks </w:t>
      </w:r>
      <w:proofErr w:type="gramStart"/>
      <w:r w:rsidRPr="006806AF">
        <w:rPr>
          <w:rFonts w:ascii="Times New Roman" w:hAnsi="Times New Roman" w:cs="Times New Roman"/>
          <w:sz w:val="24"/>
          <w:szCs w:val="24"/>
        </w:rPr>
        <w:t>the legal</w:t>
      </w:r>
      <w:proofErr w:type="gramEnd"/>
      <w:r w:rsidRPr="006806AF">
        <w:rPr>
          <w:rFonts w:ascii="Times New Roman" w:hAnsi="Times New Roman" w:cs="Times New Roman"/>
          <w:sz w:val="24"/>
          <w:szCs w:val="24"/>
        </w:rPr>
        <w:t xml:space="preserve"> reasoning or theory supporting Plaintiff’s contentions. Such theories and reasoning are absolutely protected as attorney work product. (C.C.P. §2018.030; </w:t>
      </w:r>
      <w:r w:rsidRPr="006806AF">
        <w:rPr>
          <w:rFonts w:ascii="Times New Roman" w:hAnsi="Times New Roman" w:cs="Times New Roman"/>
          <w:i/>
          <w:iCs/>
          <w:sz w:val="24"/>
          <w:szCs w:val="24"/>
        </w:rPr>
        <w:t>Sav-On Drugs, Inc. v. Superior Court</w:t>
      </w:r>
      <w:r w:rsidRPr="006806AF">
        <w:rPr>
          <w:rFonts w:ascii="Times New Roman" w:hAnsi="Times New Roman" w:cs="Times New Roman"/>
          <w:sz w:val="24"/>
          <w:szCs w:val="24"/>
        </w:rPr>
        <w:t xml:space="preserve"> (1975) 15 Cal.3d 1, 5; </w:t>
      </w:r>
      <w:r w:rsidRPr="006806AF">
        <w:rPr>
          <w:rFonts w:ascii="Times New Roman" w:hAnsi="Times New Roman" w:cs="Times New Roman"/>
          <w:i/>
          <w:iCs/>
          <w:sz w:val="24"/>
          <w:szCs w:val="24"/>
        </w:rPr>
        <w:t>Burke v. Superior Court</w:t>
      </w:r>
      <w:r w:rsidRPr="006806AF">
        <w:rPr>
          <w:rFonts w:ascii="Times New Roman" w:hAnsi="Times New Roman" w:cs="Times New Roman"/>
          <w:sz w:val="24"/>
          <w:szCs w:val="24"/>
        </w:rPr>
        <w:t xml:space="preserve"> (1969) 71 Cal.2d 276, 284-285).</w:t>
      </w:r>
    </w:p>
    <w:p w14:paraId="380F4BC6" w14:textId="77777777" w:rsidR="00A04F3E" w:rsidRPr="006806AF" w:rsidRDefault="00A04F3E" w:rsidP="00A04F3E">
      <w:pPr>
        <w:spacing w:after="0" w:line="360" w:lineRule="auto"/>
        <w:rPr>
          <w:rFonts w:ascii="Times New Roman" w:hAnsi="Times New Roman" w:cs="Times New Roman"/>
          <w:sz w:val="24"/>
          <w:szCs w:val="24"/>
        </w:rPr>
      </w:pPr>
    </w:p>
    <w:p w14:paraId="3DDACB23" w14:textId="77777777" w:rsidR="00A04F3E" w:rsidRPr="006806AF" w:rsidRDefault="00A04F3E" w:rsidP="00A04F3E">
      <w:pPr>
        <w:spacing w:after="0" w:line="360" w:lineRule="auto"/>
        <w:rPr>
          <w:rFonts w:ascii="Times New Roman" w:hAnsi="Times New Roman" w:cs="Times New Roman"/>
          <w:b/>
          <w:bCs/>
          <w:i/>
          <w:iCs/>
          <w:sz w:val="24"/>
          <w:szCs w:val="24"/>
        </w:rPr>
      </w:pPr>
      <w:bookmarkStart w:id="3" w:name="_Hlk81926272"/>
      <w:r w:rsidRPr="006806AF">
        <w:rPr>
          <w:rFonts w:ascii="Times New Roman" w:hAnsi="Times New Roman" w:cs="Times New Roman"/>
          <w:b/>
          <w:bCs/>
          <w:i/>
          <w:iCs/>
          <w:sz w:val="24"/>
          <w:szCs w:val="24"/>
        </w:rPr>
        <w:t>Privilege against self-incrimination:</w:t>
      </w:r>
    </w:p>
    <w:p w14:paraId="0DAFE040" w14:textId="77777777"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Pursuant to Evidence Code section 940, the California Constitution, and the United States Constitution, a person has a privilege to refuse to disclose any matter that may tend to incriminate him or her, and Responding Party hereby asserts said privilege.</w:t>
      </w:r>
      <w:bookmarkEnd w:id="3"/>
    </w:p>
    <w:p w14:paraId="2F3AA542" w14:textId="77777777" w:rsidR="00A04F3E" w:rsidRPr="006806AF" w:rsidRDefault="00A04F3E" w:rsidP="00A04F3E">
      <w:pPr>
        <w:spacing w:after="0" w:line="360" w:lineRule="auto"/>
        <w:rPr>
          <w:rFonts w:ascii="Times New Roman" w:hAnsi="Times New Roman" w:cs="Times New Roman"/>
          <w:b/>
          <w:bCs/>
          <w:i/>
          <w:iCs/>
          <w:sz w:val="24"/>
          <w:szCs w:val="24"/>
        </w:rPr>
      </w:pPr>
      <w:bookmarkStart w:id="4" w:name="_Hlk81926346"/>
    </w:p>
    <w:p w14:paraId="77E29CAE" w14:textId="77777777" w:rsidR="00A04F3E" w:rsidRPr="006806AF" w:rsidRDefault="00A04F3E" w:rsidP="00A04F3E">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Social security information:</w:t>
      </w:r>
    </w:p>
    <w:p w14:paraId="4BA1B8E5" w14:textId="77777777"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A party’s Social Security number is “clearly irrelevant to the subject matter of the action.” (</w:t>
      </w:r>
      <w:r w:rsidRPr="006806AF">
        <w:rPr>
          <w:rFonts w:ascii="Times New Roman" w:hAnsi="Times New Roman" w:cs="Times New Roman"/>
          <w:i/>
          <w:iCs/>
          <w:sz w:val="24"/>
          <w:szCs w:val="24"/>
        </w:rPr>
        <w:t>Smith v. Superior Court</w:t>
      </w:r>
      <w:r w:rsidRPr="006806AF">
        <w:rPr>
          <w:rFonts w:ascii="Times New Roman" w:hAnsi="Times New Roman" w:cs="Times New Roman"/>
          <w:sz w:val="24"/>
          <w:szCs w:val="24"/>
        </w:rPr>
        <w:t xml:space="preserve"> (1961) 189 Cal.App.2d 6, 9, 13).   </w:t>
      </w:r>
      <w:bookmarkEnd w:id="4"/>
    </w:p>
    <w:p w14:paraId="163F026F" w14:textId="77777777" w:rsidR="00A04F3E" w:rsidRPr="006806AF" w:rsidRDefault="00A04F3E" w:rsidP="00A04F3E">
      <w:pPr>
        <w:spacing w:after="0" w:line="360" w:lineRule="auto"/>
        <w:rPr>
          <w:rFonts w:ascii="Times New Roman" w:hAnsi="Times New Roman" w:cs="Times New Roman"/>
          <w:sz w:val="24"/>
          <w:szCs w:val="24"/>
        </w:rPr>
      </w:pPr>
    </w:p>
    <w:p w14:paraId="0A4D1C9E" w14:textId="77777777" w:rsidR="00A04F3E" w:rsidRPr="006806AF" w:rsidRDefault="00A04F3E" w:rsidP="00A04F3E">
      <w:pPr>
        <w:spacing w:after="0" w:line="360" w:lineRule="auto"/>
        <w:ind w:left="720" w:hanging="720"/>
        <w:rPr>
          <w:rFonts w:ascii="Times New Roman" w:hAnsi="Times New Roman" w:cs="Times New Roman"/>
          <w:b/>
          <w:bCs/>
          <w:i/>
          <w:iCs/>
          <w:sz w:val="24"/>
          <w:szCs w:val="24"/>
        </w:rPr>
      </w:pPr>
      <w:r w:rsidRPr="006806AF">
        <w:rPr>
          <w:rFonts w:ascii="Times New Roman" w:hAnsi="Times New Roman" w:cs="Times New Roman"/>
          <w:b/>
          <w:bCs/>
          <w:i/>
          <w:iCs/>
          <w:sz w:val="24"/>
          <w:szCs w:val="24"/>
        </w:rPr>
        <w:t>Tax returns and W-2s:</w:t>
      </w:r>
    </w:p>
    <w:p w14:paraId="4B4F8708" w14:textId="77777777"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Information regarding tax returns, including income tax returns, W-2 forms, and 1099 forms, is privileged under federal and state law. (See </w:t>
      </w:r>
      <w:r w:rsidRPr="006806AF">
        <w:rPr>
          <w:rFonts w:ascii="Times New Roman" w:hAnsi="Times New Roman" w:cs="Times New Roman"/>
          <w:i/>
          <w:iCs/>
          <w:sz w:val="24"/>
          <w:szCs w:val="24"/>
        </w:rPr>
        <w:t>Webb v. Standard Oil Co.</w:t>
      </w:r>
      <w:r w:rsidRPr="006806AF">
        <w:rPr>
          <w:rFonts w:ascii="Times New Roman" w:hAnsi="Times New Roman" w:cs="Times New Roman"/>
          <w:sz w:val="24"/>
          <w:szCs w:val="24"/>
        </w:rPr>
        <w:t xml:space="preserve"> (1957) 49 Cal.2d 509; </w:t>
      </w:r>
      <w:r w:rsidRPr="006806AF">
        <w:rPr>
          <w:rFonts w:ascii="Times New Roman" w:hAnsi="Times New Roman" w:cs="Times New Roman"/>
          <w:i/>
          <w:iCs/>
          <w:sz w:val="24"/>
          <w:szCs w:val="24"/>
        </w:rPr>
        <w:t>Brown v. Superior Court</w:t>
      </w:r>
      <w:r w:rsidRPr="006806AF">
        <w:rPr>
          <w:rFonts w:ascii="Times New Roman" w:hAnsi="Times New Roman" w:cs="Times New Roman"/>
          <w:sz w:val="24"/>
          <w:szCs w:val="24"/>
        </w:rPr>
        <w:t xml:space="preserve"> (1977) 71 Cal.App.3d 141; </w:t>
      </w:r>
      <w:r w:rsidRPr="006806AF">
        <w:rPr>
          <w:rFonts w:ascii="Times New Roman" w:hAnsi="Times New Roman" w:cs="Times New Roman"/>
          <w:i/>
          <w:iCs/>
          <w:sz w:val="24"/>
          <w:szCs w:val="24"/>
        </w:rPr>
        <w:t>Aday v. Superior Court</w:t>
      </w:r>
      <w:r w:rsidRPr="006806AF">
        <w:rPr>
          <w:rFonts w:ascii="Times New Roman" w:hAnsi="Times New Roman" w:cs="Times New Roman"/>
          <w:sz w:val="24"/>
          <w:szCs w:val="24"/>
        </w:rPr>
        <w:t xml:space="preserve"> (1961) 55 Cal.2d 789; </w:t>
      </w:r>
      <w:r w:rsidRPr="006806AF">
        <w:rPr>
          <w:rFonts w:ascii="Times New Roman" w:hAnsi="Times New Roman" w:cs="Times New Roman"/>
          <w:i/>
          <w:iCs/>
          <w:sz w:val="24"/>
          <w:szCs w:val="24"/>
        </w:rPr>
        <w:t>Schnabel v. Superior Court</w:t>
      </w:r>
      <w:r w:rsidRPr="006806AF">
        <w:rPr>
          <w:rFonts w:ascii="Times New Roman" w:hAnsi="Times New Roman" w:cs="Times New Roman"/>
          <w:sz w:val="24"/>
          <w:szCs w:val="24"/>
        </w:rPr>
        <w:t xml:space="preserve"> (1993) 5 Cal.4th 704). This privilege is to be broadly construed. (</w:t>
      </w:r>
      <w:r w:rsidRPr="006806AF">
        <w:rPr>
          <w:rFonts w:ascii="Times New Roman" w:hAnsi="Times New Roman" w:cs="Times New Roman"/>
          <w:i/>
          <w:iCs/>
          <w:sz w:val="24"/>
          <w:szCs w:val="24"/>
        </w:rPr>
        <w:t>Sav-On Drugs, Inc. v. Superior Court</w:t>
      </w:r>
      <w:r w:rsidRPr="006806AF">
        <w:rPr>
          <w:rFonts w:ascii="Times New Roman" w:hAnsi="Times New Roman" w:cs="Times New Roman"/>
          <w:sz w:val="24"/>
          <w:szCs w:val="24"/>
        </w:rPr>
        <w:t xml:space="preserve"> (1975) 15 Cal.3d 1, 6-7).  </w:t>
      </w:r>
    </w:p>
    <w:p w14:paraId="13F74548" w14:textId="77777777" w:rsidR="00A04F3E" w:rsidRPr="006806AF" w:rsidRDefault="00A04F3E" w:rsidP="00A04F3E">
      <w:pPr>
        <w:spacing w:after="0" w:line="360" w:lineRule="auto"/>
        <w:rPr>
          <w:rFonts w:ascii="Times New Roman" w:hAnsi="Times New Roman" w:cs="Times New Roman"/>
          <w:sz w:val="24"/>
          <w:szCs w:val="24"/>
        </w:rPr>
      </w:pPr>
    </w:p>
    <w:p w14:paraId="10298C2A" w14:textId="77777777" w:rsidR="00A04F3E" w:rsidRPr="006806AF" w:rsidRDefault="00A04F3E" w:rsidP="00A04F3E">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Vague and ambiguous: </w:t>
      </w:r>
    </w:p>
    <w:p w14:paraId="24F2D2CB" w14:textId="77777777"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interrogatory is so vague and ambiguous as to constitute an unwarranted annoyance and embarrassment to Responding Party, and, further, is oppressive because complying with this interrogatory would impose an undue burden and expense on Responding Party. (See Code Civ. Proc. § 2030.090, subd. (b)).</w:t>
      </w:r>
    </w:p>
    <w:p w14:paraId="05292BC8" w14:textId="77777777" w:rsidR="00A04F3E" w:rsidRPr="006806AF" w:rsidRDefault="00A04F3E" w:rsidP="00A04F3E">
      <w:pPr>
        <w:spacing w:after="0" w:line="360" w:lineRule="auto"/>
        <w:rPr>
          <w:rFonts w:ascii="Times New Roman" w:hAnsi="Times New Roman" w:cs="Times New Roman"/>
          <w:sz w:val="24"/>
          <w:szCs w:val="24"/>
        </w:rPr>
      </w:pPr>
    </w:p>
    <w:p w14:paraId="17815912" w14:textId="77777777" w:rsidR="00A04F3E" w:rsidRPr="006806AF" w:rsidRDefault="00A04F3E" w:rsidP="00A04F3E">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Overly broad:</w:t>
      </w:r>
    </w:p>
    <w:p w14:paraId="5842D0F8" w14:textId="77777777" w:rsidR="00A04F3E" w:rsidRPr="006806AF" w:rsidRDefault="00A04F3E" w:rsidP="00A04F3E">
      <w:pPr>
        <w:pStyle w:val="ListParagraph"/>
        <w:numPr>
          <w:ilvl w:val="0"/>
          <w:numId w:val="1"/>
        </w:numPr>
        <w:spacing w:after="0" w:line="360" w:lineRule="auto"/>
        <w:rPr>
          <w:rFonts w:ascii="Times New Roman" w:hAnsi="Times New Roman" w:cs="Times New Roman"/>
          <w:b/>
          <w:bCs/>
          <w:i/>
          <w:iCs/>
          <w:sz w:val="24"/>
          <w:szCs w:val="24"/>
        </w:rPr>
      </w:pPr>
      <w:bookmarkStart w:id="5" w:name="_Hlk78972445"/>
      <w:bookmarkStart w:id="6" w:name="_Hlk78977649"/>
      <w:bookmarkStart w:id="7" w:name="_Hlk78980084"/>
      <w:bookmarkStart w:id="8" w:name="_Hlk78975455"/>
      <w:r w:rsidRPr="006806AF">
        <w:rPr>
          <w:rFonts w:ascii="Times New Roman" w:hAnsi="Times New Roman" w:cs="Times New Roman"/>
          <w:sz w:val="24"/>
          <w:szCs w:val="24"/>
        </w:rPr>
        <w:t>This interrogatory is burdensome, and remote, and as such is not calculated to lead to the discovery of information relevant to the subject matter of this action or to the discovery of admissible evidence. (</w:t>
      </w:r>
      <w:r w:rsidRPr="006806AF">
        <w:rPr>
          <w:rStyle w:val="Underline"/>
          <w:rFonts w:ascii="Times New Roman" w:hAnsi="Times New Roman" w:cs="Times New Roman"/>
          <w:i/>
          <w:sz w:val="24"/>
          <w:szCs w:val="24"/>
        </w:rPr>
        <w:t>CBS v. Superior Court</w:t>
      </w:r>
      <w:r w:rsidRPr="006806AF">
        <w:rPr>
          <w:rFonts w:ascii="Times New Roman" w:hAnsi="Times New Roman" w:cs="Times New Roman"/>
          <w:sz w:val="24"/>
          <w:szCs w:val="24"/>
        </w:rPr>
        <w:t xml:space="preserve"> (1968) 263 Cal.App.2d 12).</w:t>
      </w:r>
      <w:bookmarkEnd w:id="5"/>
      <w:r w:rsidRPr="006806AF">
        <w:rPr>
          <w:rFonts w:ascii="Times New Roman" w:hAnsi="Times New Roman" w:cs="Times New Roman"/>
          <w:sz w:val="24"/>
          <w:szCs w:val="24"/>
        </w:rPr>
        <w:t xml:space="preserve"> </w:t>
      </w:r>
      <w:bookmarkStart w:id="9" w:name="_Hlk78972593"/>
      <w:bookmarkEnd w:id="6"/>
      <w:r w:rsidRPr="006806AF">
        <w:rPr>
          <w:rFonts w:ascii="Times New Roman" w:hAnsi="Times New Roman" w:cs="Times New Roman"/>
          <w:sz w:val="24"/>
          <w:szCs w:val="24"/>
        </w:rPr>
        <w:t>To answer this interrogatory would result in oppression to Plaintiff in that this interrogatory is overly broad, indefinite as to time, and without reasonable limitation in scope. (</w:t>
      </w:r>
      <w:r w:rsidRPr="006806AF">
        <w:rPr>
          <w:rStyle w:val="Underline"/>
          <w:rFonts w:ascii="Times New Roman" w:hAnsi="Times New Roman" w:cs="Times New Roman"/>
          <w:i/>
          <w:sz w:val="24"/>
          <w:szCs w:val="24"/>
        </w:rPr>
        <w:t>West Pico v. Superior Court</w:t>
      </w:r>
      <w:r w:rsidRPr="006806AF">
        <w:rPr>
          <w:rFonts w:ascii="Times New Roman" w:hAnsi="Times New Roman" w:cs="Times New Roman"/>
          <w:sz w:val="24"/>
          <w:szCs w:val="24"/>
        </w:rPr>
        <w:t xml:space="preserve"> (1961) 56 Cal.2d 407).</w:t>
      </w:r>
      <w:bookmarkEnd w:id="7"/>
      <w:bookmarkEnd w:id="8"/>
      <w:bookmarkEnd w:id="9"/>
    </w:p>
    <w:p w14:paraId="1657943C" w14:textId="77777777" w:rsidR="00A04F3E" w:rsidRPr="006806AF" w:rsidRDefault="00A04F3E" w:rsidP="00A04F3E">
      <w:pPr>
        <w:spacing w:after="0" w:line="360" w:lineRule="auto"/>
        <w:rPr>
          <w:rFonts w:ascii="Times New Roman" w:hAnsi="Times New Roman" w:cs="Times New Roman"/>
          <w:b/>
          <w:bCs/>
          <w:i/>
          <w:iCs/>
          <w:sz w:val="24"/>
          <w:szCs w:val="24"/>
        </w:rPr>
      </w:pPr>
    </w:p>
    <w:p w14:paraId="38DE88FB" w14:textId="77777777" w:rsidR="00A04F3E" w:rsidRPr="006806AF" w:rsidRDefault="00A04F3E" w:rsidP="00A04F3E">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Seeks legal analysis: </w:t>
      </w:r>
    </w:p>
    <w:p w14:paraId="4C39CE17" w14:textId="77777777"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interrogatory is oppressive, harassing, and burdensome; the information sought seeks Plaintiff’s counsel’s legal analysis and theories regarding laws, ordinances, safety orders, etc., which are equally available to Defendant; the question also invades the attorney work-product privilege. (</w:t>
      </w:r>
      <w:r w:rsidRPr="006806AF">
        <w:rPr>
          <w:rFonts w:ascii="Times New Roman" w:hAnsi="Times New Roman" w:cs="Times New Roman"/>
          <w:i/>
          <w:iCs/>
          <w:sz w:val="24"/>
          <w:szCs w:val="24"/>
        </w:rPr>
        <w:t>Alpine v. Superior Court</w:t>
      </w:r>
      <w:r w:rsidRPr="006806AF">
        <w:rPr>
          <w:rFonts w:ascii="Times New Roman" w:hAnsi="Times New Roman" w:cs="Times New Roman"/>
          <w:sz w:val="24"/>
          <w:szCs w:val="24"/>
        </w:rPr>
        <w:t xml:space="preserve"> (1968) 259 Cal.App.2d 45; </w:t>
      </w:r>
      <w:r w:rsidRPr="006806AF">
        <w:rPr>
          <w:rFonts w:ascii="Times New Roman" w:hAnsi="Times New Roman" w:cs="Times New Roman"/>
          <w:i/>
          <w:iCs/>
          <w:sz w:val="24"/>
          <w:szCs w:val="24"/>
        </w:rPr>
        <w:t>Burke v. Superior Court</w:t>
      </w:r>
      <w:r w:rsidRPr="006806AF">
        <w:rPr>
          <w:rFonts w:ascii="Times New Roman" w:hAnsi="Times New Roman" w:cs="Times New Roman"/>
          <w:sz w:val="24"/>
          <w:szCs w:val="24"/>
        </w:rPr>
        <w:t xml:space="preserve"> (1969) 71 Cal 2d 276, 286).</w:t>
      </w:r>
    </w:p>
    <w:p w14:paraId="60A41814" w14:textId="77777777" w:rsidR="00A04F3E" w:rsidRPr="006806AF" w:rsidRDefault="00A04F3E" w:rsidP="00A04F3E">
      <w:pPr>
        <w:spacing w:after="0" w:line="360" w:lineRule="auto"/>
        <w:rPr>
          <w:rFonts w:ascii="Times New Roman" w:hAnsi="Times New Roman" w:cs="Times New Roman"/>
          <w:sz w:val="24"/>
          <w:szCs w:val="24"/>
        </w:rPr>
      </w:pPr>
    </w:p>
    <w:p w14:paraId="123C9B4C" w14:textId="77777777" w:rsidR="00A04F3E" w:rsidRPr="006806AF" w:rsidRDefault="00A04F3E" w:rsidP="00A04F3E">
      <w:pPr>
        <w:spacing w:after="0" w:line="360" w:lineRule="auto"/>
        <w:rPr>
          <w:rFonts w:ascii="Times New Roman" w:hAnsi="Times New Roman" w:cs="Times New Roman"/>
          <w:b/>
          <w:bCs/>
          <w:i/>
          <w:iCs/>
          <w:sz w:val="24"/>
          <w:szCs w:val="24"/>
        </w:rPr>
      </w:pPr>
      <w:bookmarkStart w:id="10" w:name="_Hlk81990395"/>
      <w:r w:rsidRPr="006806AF">
        <w:rPr>
          <w:rFonts w:ascii="Times New Roman" w:hAnsi="Times New Roman" w:cs="Times New Roman"/>
          <w:b/>
          <w:bCs/>
          <w:i/>
          <w:iCs/>
          <w:sz w:val="24"/>
          <w:szCs w:val="24"/>
        </w:rPr>
        <w:t xml:space="preserve">Boilerplate: </w:t>
      </w:r>
    </w:p>
    <w:p w14:paraId="3A1E78E5" w14:textId="77777777"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interrogatory is boilerplate in form, requiring reference back to preceding questions, introductions, etc., thus making the question oppressive, burdensome, ambiguous, and unintelligible. </w:t>
      </w:r>
      <w:r w:rsidRPr="006806AF">
        <w:rPr>
          <w:rFonts w:ascii="Times New Roman" w:hAnsi="Times New Roman" w:cs="Times New Roman"/>
          <w:i/>
          <w:iCs/>
          <w:sz w:val="24"/>
          <w:szCs w:val="24"/>
        </w:rPr>
        <w:t>West Pico v. Superior Court</w:t>
      </w:r>
      <w:r w:rsidRPr="006806AF">
        <w:rPr>
          <w:rFonts w:ascii="Times New Roman" w:hAnsi="Times New Roman" w:cs="Times New Roman"/>
          <w:sz w:val="24"/>
          <w:szCs w:val="24"/>
        </w:rPr>
        <w:t xml:space="preserve"> (1961) 56 Cal.2d 407. </w:t>
      </w:r>
      <w:bookmarkEnd w:id="10"/>
    </w:p>
    <w:p w14:paraId="3E10AB34" w14:textId="77777777" w:rsidR="00A04F3E" w:rsidRPr="006806AF" w:rsidRDefault="00A04F3E" w:rsidP="00A04F3E">
      <w:pPr>
        <w:pStyle w:val="ListParagraph"/>
        <w:spacing w:after="0" w:line="360" w:lineRule="auto"/>
        <w:rPr>
          <w:rFonts w:ascii="Times New Roman" w:hAnsi="Times New Roman" w:cs="Times New Roman"/>
          <w:sz w:val="24"/>
          <w:szCs w:val="24"/>
        </w:rPr>
      </w:pPr>
    </w:p>
    <w:p w14:paraId="2084C4B5" w14:textId="77777777" w:rsidR="00A04F3E" w:rsidRPr="006806AF" w:rsidRDefault="00A04F3E" w:rsidP="00A04F3E">
      <w:pPr>
        <w:spacing w:after="0" w:line="360" w:lineRule="auto"/>
        <w:rPr>
          <w:rFonts w:ascii="Times New Roman" w:hAnsi="Times New Roman" w:cs="Times New Roman"/>
          <w:sz w:val="24"/>
          <w:szCs w:val="24"/>
        </w:rPr>
      </w:pPr>
      <w:r w:rsidRPr="006806AF">
        <w:rPr>
          <w:rFonts w:ascii="Times New Roman" w:hAnsi="Times New Roman" w:cs="Times New Roman"/>
          <w:b/>
          <w:bCs/>
          <w:i/>
          <w:iCs/>
          <w:sz w:val="24"/>
          <w:szCs w:val="24"/>
        </w:rPr>
        <w:t xml:space="preserve">Seeks an abstract: </w:t>
      </w:r>
    </w:p>
    <w:p w14:paraId="207B0CED" w14:textId="77777777"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To the extent that Defendant seeks an </w:t>
      </w:r>
      <w:proofErr w:type="gramStart"/>
      <w:r w:rsidRPr="006806AF">
        <w:rPr>
          <w:rFonts w:ascii="Times New Roman" w:hAnsi="Times New Roman" w:cs="Times New Roman"/>
          <w:sz w:val="24"/>
          <w:szCs w:val="24"/>
        </w:rPr>
        <w:t>abstract,</w:t>
      </w:r>
      <w:proofErr w:type="gramEnd"/>
      <w:r w:rsidRPr="006806AF">
        <w:rPr>
          <w:rFonts w:ascii="Times New Roman" w:hAnsi="Times New Roman" w:cs="Times New Roman"/>
          <w:sz w:val="24"/>
          <w:szCs w:val="24"/>
        </w:rPr>
        <w:t xml:space="preserve"> summary, or compilation of the dates, nature of treatment, and consultation, along with the reasons for such examination, Defendant is directed, pursuant to C.C.P. §2030.230, to the medical records themselves as identified in the response to this interrogatory. Plaintiff does not have an abstract, summary, or compilation of the information which is contained in these records.</w:t>
      </w:r>
    </w:p>
    <w:p w14:paraId="2BABAA47" w14:textId="77777777" w:rsidR="00A04F3E" w:rsidRPr="006806AF" w:rsidRDefault="00A04F3E" w:rsidP="00A04F3E">
      <w:pPr>
        <w:spacing w:after="0" w:line="360" w:lineRule="auto"/>
        <w:rPr>
          <w:rFonts w:ascii="Times New Roman" w:hAnsi="Times New Roman" w:cs="Times New Roman"/>
          <w:sz w:val="24"/>
          <w:szCs w:val="24"/>
        </w:rPr>
      </w:pPr>
    </w:p>
    <w:p w14:paraId="73B038E3" w14:textId="77777777" w:rsidR="00A04F3E" w:rsidRPr="006806AF" w:rsidRDefault="00A04F3E" w:rsidP="00A04F3E">
      <w:pPr>
        <w:spacing w:after="0" w:line="360" w:lineRule="auto"/>
        <w:rPr>
          <w:rFonts w:ascii="Times New Roman" w:hAnsi="Times New Roman" w:cs="Times New Roman"/>
          <w:b/>
          <w:bCs/>
          <w:i/>
          <w:iCs/>
          <w:sz w:val="24"/>
          <w:szCs w:val="24"/>
        </w:rPr>
      </w:pPr>
      <w:proofErr w:type="gramStart"/>
      <w:r w:rsidRPr="006806AF">
        <w:rPr>
          <w:rFonts w:ascii="Times New Roman" w:hAnsi="Times New Roman" w:cs="Times New Roman"/>
          <w:b/>
          <w:bCs/>
          <w:i/>
          <w:iCs/>
          <w:sz w:val="24"/>
          <w:szCs w:val="24"/>
        </w:rPr>
        <w:t>Seeks</w:t>
      </w:r>
      <w:proofErr w:type="gramEnd"/>
      <w:r w:rsidRPr="006806AF">
        <w:rPr>
          <w:rFonts w:ascii="Times New Roman" w:hAnsi="Times New Roman" w:cs="Times New Roman"/>
          <w:b/>
          <w:bCs/>
          <w:i/>
          <w:iCs/>
          <w:sz w:val="24"/>
          <w:szCs w:val="24"/>
        </w:rPr>
        <w:t xml:space="preserve"> facts at trial:</w:t>
      </w:r>
    </w:p>
    <w:p w14:paraId="4A83472A" w14:textId="77777777"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lastRenderedPageBreak/>
        <w:t xml:space="preserve">This interrogatory seeks to ascertain all facts or other data which plaintiff intends to offer at trial and, as such, is violative of the </w:t>
      </w:r>
      <w:proofErr w:type="gramStart"/>
      <w:r w:rsidRPr="006806AF">
        <w:rPr>
          <w:rFonts w:ascii="Times New Roman" w:hAnsi="Times New Roman" w:cs="Times New Roman"/>
          <w:sz w:val="24"/>
          <w:szCs w:val="24"/>
        </w:rPr>
        <w:t>attorney</w:t>
      </w:r>
      <w:proofErr w:type="gramEnd"/>
      <w:r w:rsidRPr="006806AF">
        <w:rPr>
          <w:rFonts w:ascii="Times New Roman" w:hAnsi="Times New Roman" w:cs="Times New Roman"/>
          <w:sz w:val="24"/>
          <w:szCs w:val="24"/>
        </w:rPr>
        <w:t xml:space="preserve"> work-product privilege. (</w:t>
      </w:r>
      <w:r w:rsidRPr="006806AF">
        <w:rPr>
          <w:rFonts w:ascii="Times New Roman" w:hAnsi="Times New Roman" w:cs="Times New Roman"/>
          <w:i/>
          <w:iCs/>
          <w:sz w:val="24"/>
          <w:szCs w:val="24"/>
        </w:rPr>
        <w:t>Singer v. Superior Court</w:t>
      </w:r>
      <w:r w:rsidRPr="006806AF">
        <w:rPr>
          <w:rFonts w:ascii="Times New Roman" w:hAnsi="Times New Roman" w:cs="Times New Roman"/>
          <w:sz w:val="24"/>
          <w:szCs w:val="24"/>
        </w:rPr>
        <w:t xml:space="preserve"> (1969) 54 Cal.2d 318).</w:t>
      </w:r>
    </w:p>
    <w:p w14:paraId="294DE2E9" w14:textId="77777777" w:rsidR="00A04F3E" w:rsidRPr="006806AF" w:rsidRDefault="00A04F3E" w:rsidP="00A04F3E">
      <w:pPr>
        <w:spacing w:after="0" w:line="360" w:lineRule="auto"/>
        <w:rPr>
          <w:rFonts w:ascii="Times New Roman" w:hAnsi="Times New Roman" w:cs="Times New Roman"/>
          <w:sz w:val="24"/>
          <w:szCs w:val="24"/>
        </w:rPr>
      </w:pPr>
    </w:p>
    <w:p w14:paraId="2C06D784" w14:textId="77777777" w:rsidR="00A04F3E" w:rsidRPr="006806AF" w:rsidRDefault="00A04F3E" w:rsidP="00A04F3E">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Mistake in numbering: </w:t>
      </w:r>
    </w:p>
    <w:p w14:paraId="1D86B8C0" w14:textId="77777777"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The questions in this set of ____________ are not formatted in conformity with the requirements of C.C.P. §2030.060, in that the questions are not ordered consecutively and </w:t>
      </w:r>
      <w:proofErr w:type="gramStart"/>
      <w:r w:rsidRPr="006806AF">
        <w:rPr>
          <w:rFonts w:ascii="Times New Roman" w:hAnsi="Times New Roman" w:cs="Times New Roman"/>
          <w:sz w:val="24"/>
          <w:szCs w:val="24"/>
        </w:rPr>
        <w:t>are not</w:t>
      </w:r>
      <w:proofErr w:type="gramEnd"/>
      <w:r w:rsidRPr="006806AF">
        <w:rPr>
          <w:rFonts w:ascii="Times New Roman" w:hAnsi="Times New Roman" w:cs="Times New Roman"/>
          <w:sz w:val="24"/>
          <w:szCs w:val="24"/>
        </w:rPr>
        <w:t xml:space="preserve"> each separately identified by a unique number. Responding to these questions/demands/requests as erroneously numbered would lead to confusion.</w:t>
      </w:r>
    </w:p>
    <w:p w14:paraId="546A5067" w14:textId="77777777" w:rsidR="00A04F3E" w:rsidRPr="006806AF" w:rsidRDefault="00A04F3E" w:rsidP="00A04F3E">
      <w:pPr>
        <w:spacing w:after="0" w:line="360" w:lineRule="auto"/>
        <w:rPr>
          <w:rFonts w:ascii="Times New Roman" w:hAnsi="Times New Roman" w:cs="Times New Roman"/>
          <w:sz w:val="24"/>
          <w:szCs w:val="24"/>
        </w:rPr>
      </w:pPr>
    </w:p>
    <w:p w14:paraId="0D9B512B" w14:textId="77777777" w:rsidR="00A04F3E" w:rsidRPr="006806AF" w:rsidRDefault="00A04F3E" w:rsidP="00A04F3E">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Privacy:</w:t>
      </w:r>
    </w:p>
    <w:p w14:paraId="1A85989E" w14:textId="77777777"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question seeks information protected by the right of privacy afforded by the California Constitution, Art. I §1.</w:t>
      </w:r>
    </w:p>
    <w:p w14:paraId="6A76DFBA" w14:textId="77777777"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interrogatory invades Plaintiff’s constitutional right to privacy, and is overbroad, burdensome, oppressive, and unduly harassing.  </w:t>
      </w:r>
      <w:bookmarkStart w:id="11" w:name="_Hlk82001269"/>
    </w:p>
    <w:p w14:paraId="6D71D535" w14:textId="77777777" w:rsidR="00A04F3E" w:rsidRPr="006806AF" w:rsidRDefault="00A04F3E" w:rsidP="00A04F3E">
      <w:pPr>
        <w:pStyle w:val="ListParagraph"/>
        <w:spacing w:after="0" w:line="360" w:lineRule="auto"/>
        <w:rPr>
          <w:rFonts w:ascii="Times New Roman" w:hAnsi="Times New Roman" w:cs="Times New Roman"/>
          <w:sz w:val="24"/>
          <w:szCs w:val="24"/>
        </w:rPr>
      </w:pPr>
    </w:p>
    <w:p w14:paraId="430D4F02" w14:textId="2C4FE984" w:rsidR="00A04F3E" w:rsidRPr="006806AF" w:rsidRDefault="00A04F3E" w:rsidP="00A04F3E">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Any </w:t>
      </w:r>
      <w:proofErr w:type="gramStart"/>
      <w:r>
        <w:rPr>
          <w:rFonts w:ascii="Times New Roman" w:hAnsi="Times New Roman" w:cs="Times New Roman"/>
          <w:b/>
          <w:bCs/>
          <w:i/>
          <w:iCs/>
          <w:sz w:val="24"/>
          <w:szCs w:val="24"/>
        </w:rPr>
        <w:t>interrogatory</w:t>
      </w:r>
      <w:proofErr w:type="gramEnd"/>
      <w:r>
        <w:rPr>
          <w:rFonts w:ascii="Times New Roman" w:hAnsi="Times New Roman" w:cs="Times New Roman"/>
          <w:b/>
          <w:bCs/>
          <w:i/>
          <w:iCs/>
          <w:sz w:val="24"/>
          <w:szCs w:val="24"/>
        </w:rPr>
        <w:t xml:space="preserve"> that asks a question that </w:t>
      </w:r>
      <w:proofErr w:type="gramStart"/>
      <w:r>
        <w:rPr>
          <w:rFonts w:ascii="Times New Roman" w:hAnsi="Times New Roman" w:cs="Times New Roman"/>
          <w:b/>
          <w:bCs/>
          <w:i/>
          <w:iCs/>
          <w:sz w:val="24"/>
          <w:szCs w:val="24"/>
        </w:rPr>
        <w:t>would be</w:t>
      </w:r>
      <w:proofErr w:type="gramEnd"/>
      <w:r>
        <w:rPr>
          <w:rFonts w:ascii="Times New Roman" w:hAnsi="Times New Roman" w:cs="Times New Roman"/>
          <w:b/>
          <w:bCs/>
          <w:i/>
          <w:iCs/>
          <w:sz w:val="24"/>
          <w:szCs w:val="24"/>
        </w:rPr>
        <w:t xml:space="preserve"> solicit the opinion or conclusion pf a medical professional</w:t>
      </w:r>
      <w:r w:rsidRPr="006806AF">
        <w:rPr>
          <w:rFonts w:ascii="Times New Roman" w:hAnsi="Times New Roman" w:cs="Times New Roman"/>
          <w:b/>
          <w:bCs/>
          <w:i/>
          <w:iCs/>
          <w:sz w:val="24"/>
          <w:szCs w:val="24"/>
        </w:rPr>
        <w:t>:</w:t>
      </w:r>
    </w:p>
    <w:p w14:paraId="709CEA32" w14:textId="77777777" w:rsidR="00A04F3E"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interrogatory seeks an expert medical opinion and/or conclusion.</w:t>
      </w:r>
    </w:p>
    <w:p w14:paraId="1F00396D" w14:textId="77777777" w:rsidR="00A04F3E" w:rsidRDefault="00A04F3E" w:rsidP="00A04F3E">
      <w:pPr>
        <w:spacing w:after="0" w:line="360" w:lineRule="auto"/>
        <w:rPr>
          <w:rFonts w:ascii="Times New Roman" w:hAnsi="Times New Roman" w:cs="Times New Roman"/>
          <w:sz w:val="24"/>
          <w:szCs w:val="24"/>
        </w:rPr>
      </w:pPr>
    </w:p>
    <w:p w14:paraId="7FBA6892" w14:textId="77777777" w:rsidR="00A04F3E" w:rsidRPr="00A04F3E" w:rsidRDefault="00A04F3E" w:rsidP="00A04F3E">
      <w:pPr>
        <w:spacing w:after="0" w:line="360" w:lineRule="auto"/>
        <w:rPr>
          <w:rFonts w:ascii="Times New Roman" w:hAnsi="Times New Roman" w:cs="Times New Roman"/>
          <w:sz w:val="24"/>
          <w:szCs w:val="24"/>
        </w:rPr>
      </w:pPr>
    </w:p>
    <w:bookmarkEnd w:id="11"/>
    <w:p w14:paraId="4ED184A3" w14:textId="265C59E1" w:rsidR="00A04F3E" w:rsidRPr="00A04F3E" w:rsidRDefault="00A04F3E" w:rsidP="00A04F3E">
      <w:pPr>
        <w:spacing w:after="0" w:line="240" w:lineRule="auto"/>
        <w:rPr>
          <w:rFonts w:ascii="Times New Roman" w:hAnsi="Times New Roman" w:cs="Times New Roman"/>
          <w:i/>
          <w:iCs/>
          <w:sz w:val="24"/>
          <w:szCs w:val="24"/>
        </w:rPr>
      </w:pPr>
      <w:r w:rsidRPr="00A04F3E">
        <w:rPr>
          <w:rFonts w:ascii="Times New Roman" w:hAnsi="Times New Roman" w:cs="Times New Roman"/>
          <w:b/>
          <w:bCs/>
          <w:i/>
          <w:iCs/>
          <w:sz w:val="24"/>
          <w:szCs w:val="24"/>
        </w:rPr>
        <w:t xml:space="preserve">Anything that </w:t>
      </w:r>
      <w:proofErr w:type="gramStart"/>
      <w:r w:rsidRPr="00A04F3E">
        <w:rPr>
          <w:rFonts w:ascii="Times New Roman" w:hAnsi="Times New Roman" w:cs="Times New Roman"/>
          <w:b/>
          <w:bCs/>
          <w:i/>
          <w:iCs/>
          <w:sz w:val="24"/>
          <w:szCs w:val="24"/>
        </w:rPr>
        <w:t>requests</w:t>
      </w:r>
      <w:proofErr w:type="gramEnd"/>
      <w:r w:rsidRPr="00A04F3E">
        <w:rPr>
          <w:rFonts w:ascii="Times New Roman" w:hAnsi="Times New Roman" w:cs="Times New Roman"/>
          <w:b/>
          <w:bCs/>
          <w:i/>
          <w:iCs/>
          <w:sz w:val="24"/>
          <w:szCs w:val="24"/>
        </w:rPr>
        <w:t xml:space="preserve"> any sort of data that spans over 10 years:</w:t>
      </w:r>
    </w:p>
    <w:p w14:paraId="56DA4073" w14:textId="77777777" w:rsidR="00A04F3E" w:rsidRPr="009E38EF" w:rsidRDefault="00A04F3E" w:rsidP="00A04F3E">
      <w:pPr>
        <w:pStyle w:val="ListParagraph"/>
        <w:numPr>
          <w:ilvl w:val="0"/>
          <w:numId w:val="1"/>
        </w:numPr>
        <w:spacing w:after="0" w:line="240" w:lineRule="auto"/>
        <w:rPr>
          <w:rFonts w:ascii="Times New Roman" w:hAnsi="Times New Roman" w:cs="Times New Roman"/>
          <w:sz w:val="24"/>
          <w:szCs w:val="24"/>
        </w:rPr>
      </w:pPr>
      <w:r w:rsidRPr="009E38EF">
        <w:rPr>
          <w:rFonts w:ascii="Times New Roman" w:hAnsi="Times New Roman" w:cs="Times New Roman"/>
          <w:sz w:val="24"/>
          <w:szCs w:val="24"/>
        </w:rPr>
        <w:t>Moreover</w:t>
      </w:r>
      <w:r w:rsidRPr="009E38EF">
        <w:rPr>
          <w:rFonts w:ascii="Times New Roman" w:hAnsi="Times New Roman" w:cs="Times New Roman"/>
          <w:sz w:val="24"/>
          <w:szCs w:val="24"/>
          <w:highlight w:val="white"/>
        </w:rPr>
        <w:t xml:space="preserve">, this request is overly broad as to time, irrelevant, and not reasonably calculated to lead to the discovery of admissible evidence.  </w:t>
      </w:r>
    </w:p>
    <w:p w14:paraId="0DE75073" w14:textId="77777777" w:rsidR="00A04F3E" w:rsidRPr="006806AF" w:rsidRDefault="00A04F3E" w:rsidP="00A04F3E">
      <w:pPr>
        <w:spacing w:after="0" w:line="360" w:lineRule="auto"/>
        <w:rPr>
          <w:rFonts w:ascii="Times New Roman" w:hAnsi="Times New Roman" w:cs="Times New Roman"/>
          <w:sz w:val="24"/>
          <w:szCs w:val="24"/>
        </w:rPr>
      </w:pPr>
    </w:p>
    <w:p w14:paraId="7E0608FE" w14:textId="646EC24D" w:rsidR="00A04F3E" w:rsidRPr="006806AF" w:rsidRDefault="00A04F3E" w:rsidP="00A04F3E">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Anything that asks for a reconstruction, opinion, or general narrative of the plaintiff: </w:t>
      </w:r>
    </w:p>
    <w:p w14:paraId="4893E179" w14:textId="77777777" w:rsidR="00A04F3E"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highlight w:val="white"/>
        </w:rPr>
        <w:t xml:space="preserve">Plaintiff objects to this special interrogatory on the grounds that it calls for Plaintiff to provide a narrative response to this interrogatory.  Plaintiff further objects in that the subject interrogatory </w:t>
      </w:r>
      <w:proofErr w:type="gramStart"/>
      <w:r w:rsidRPr="006806AF">
        <w:rPr>
          <w:rFonts w:ascii="Times New Roman" w:hAnsi="Times New Roman" w:cs="Times New Roman"/>
          <w:sz w:val="24"/>
          <w:szCs w:val="24"/>
          <w:highlight w:val="white"/>
        </w:rPr>
        <w:t>is</w:t>
      </w:r>
      <w:proofErr w:type="gramEnd"/>
      <w:r w:rsidRPr="006806AF">
        <w:rPr>
          <w:rFonts w:ascii="Times New Roman" w:hAnsi="Times New Roman" w:cs="Times New Roman"/>
          <w:sz w:val="24"/>
          <w:szCs w:val="24"/>
          <w:highlight w:val="white"/>
        </w:rPr>
        <w:t xml:space="preserve"> vague and ambiguous, calls for an expert opinion and a legal conclusion. </w:t>
      </w:r>
      <w:r w:rsidRPr="006806AF">
        <w:rPr>
          <w:rFonts w:ascii="Times New Roman" w:hAnsi="Times New Roman" w:cs="Times New Roman"/>
          <w:sz w:val="24"/>
          <w:szCs w:val="24"/>
        </w:rPr>
        <w:t>Moreover, it seeks to invade attorney client and/or attorney work product privilege.</w:t>
      </w:r>
    </w:p>
    <w:p w14:paraId="6C3DB9B1" w14:textId="77777777" w:rsidR="00A04F3E" w:rsidRPr="00A04F3E" w:rsidRDefault="00A04F3E" w:rsidP="00A04F3E">
      <w:pPr>
        <w:spacing w:after="0" w:line="360" w:lineRule="auto"/>
        <w:rPr>
          <w:rFonts w:ascii="Times New Roman" w:hAnsi="Times New Roman" w:cs="Times New Roman"/>
          <w:b/>
          <w:i/>
          <w:iCs/>
          <w:sz w:val="24"/>
          <w:szCs w:val="24"/>
        </w:rPr>
      </w:pPr>
      <w:r w:rsidRPr="00A04F3E">
        <w:rPr>
          <w:rFonts w:ascii="Times New Roman" w:hAnsi="Times New Roman" w:cs="Times New Roman"/>
          <w:b/>
          <w:i/>
          <w:iCs/>
          <w:sz w:val="24"/>
          <w:szCs w:val="24"/>
        </w:rPr>
        <w:t>Equally Available to the Defense (NEW)</w:t>
      </w:r>
    </w:p>
    <w:p w14:paraId="1709BA3B" w14:textId="77777777" w:rsidR="00A04F3E" w:rsidRPr="009E38EF" w:rsidRDefault="00A04F3E" w:rsidP="00A04F3E">
      <w:pPr>
        <w:pStyle w:val="ListParagraph"/>
        <w:numPr>
          <w:ilvl w:val="0"/>
          <w:numId w:val="1"/>
        </w:numPr>
        <w:spacing w:after="0" w:line="240" w:lineRule="auto"/>
        <w:rPr>
          <w:rFonts w:ascii="Times New Roman" w:hAnsi="Times New Roman" w:cs="Times New Roman"/>
          <w:sz w:val="24"/>
          <w:szCs w:val="24"/>
        </w:rPr>
      </w:pPr>
      <w:r w:rsidRPr="009E38EF">
        <w:rPr>
          <w:rFonts w:ascii="Times New Roman" w:hAnsi="Times New Roman" w:cs="Times New Roman"/>
          <w:sz w:val="24"/>
          <w:szCs w:val="24"/>
        </w:rPr>
        <w:lastRenderedPageBreak/>
        <w:tab/>
      </w:r>
      <w:r w:rsidRPr="009E38EF">
        <w:rPr>
          <w:rFonts w:ascii="Times New Roman" w:hAnsi="Times New Roman" w:cs="Times New Roman"/>
          <w:sz w:val="24"/>
          <w:szCs w:val="24"/>
          <w:highlight w:val="white"/>
        </w:rPr>
        <w:t xml:space="preserve">Plaintiff objects to the production request/INTERROGATORY as being vague, ambiguous, compound, overbroad, irrelevant, and not reasonably calculated to lead to the discovery of admissible evidence. Further, it calls for an expert opinion and a legal </w:t>
      </w:r>
      <w:proofErr w:type="gramStart"/>
      <w:r w:rsidRPr="009E38EF">
        <w:rPr>
          <w:rFonts w:ascii="Times New Roman" w:hAnsi="Times New Roman" w:cs="Times New Roman"/>
          <w:sz w:val="24"/>
          <w:szCs w:val="24"/>
          <w:highlight w:val="white"/>
        </w:rPr>
        <w:t>conclusion, and</w:t>
      </w:r>
      <w:proofErr w:type="gramEnd"/>
      <w:r w:rsidRPr="009E38EF">
        <w:rPr>
          <w:rFonts w:ascii="Times New Roman" w:hAnsi="Times New Roman" w:cs="Times New Roman"/>
          <w:sz w:val="24"/>
          <w:szCs w:val="24"/>
          <w:highlight w:val="white"/>
        </w:rPr>
        <w:t xml:space="preserve"> seeks to invade the attorney client and attorney work product privilege.  </w:t>
      </w:r>
      <w:r w:rsidRPr="009E38EF">
        <w:rPr>
          <w:rFonts w:ascii="Times New Roman" w:hAnsi="Times New Roman" w:cs="Times New Roman"/>
          <w:sz w:val="24"/>
          <w:szCs w:val="24"/>
        </w:rPr>
        <w:t xml:space="preserve">Additionally, such documents are equally available to Defendant making this request </w:t>
      </w:r>
      <w:r w:rsidRPr="009E38EF">
        <w:rPr>
          <w:rFonts w:ascii="Times New Roman" w:hAnsi="Times New Roman" w:cs="Times New Roman"/>
          <w:sz w:val="24"/>
          <w:szCs w:val="24"/>
          <w:highlight w:val="white"/>
        </w:rPr>
        <w:t>burdensome, oppressive, and harassing to Plaintiff. [[SOMETIMES, answer: Without</w:t>
      </w:r>
      <w:r w:rsidRPr="009E38EF">
        <w:rPr>
          <w:rFonts w:ascii="Times New Roman" w:hAnsi="Times New Roman" w:cs="Times New Roman"/>
          <w:sz w:val="24"/>
          <w:szCs w:val="24"/>
        </w:rPr>
        <w:t xml:space="preserve"> waiving said objections, and subject to the aforementioned objections, Plaintiff responds as follows: Aside from those documents between Plaintiff’s attorney and the Defense </w:t>
      </w:r>
      <w:proofErr w:type="gramStart"/>
      <w:r w:rsidRPr="009E38EF">
        <w:rPr>
          <w:rFonts w:ascii="Times New Roman" w:hAnsi="Times New Roman" w:cs="Times New Roman"/>
          <w:sz w:val="24"/>
          <w:szCs w:val="24"/>
        </w:rPr>
        <w:t>in regards to</w:t>
      </w:r>
      <w:proofErr w:type="gramEnd"/>
      <w:r w:rsidRPr="009E38EF">
        <w:rPr>
          <w:rFonts w:ascii="Times New Roman" w:hAnsi="Times New Roman" w:cs="Times New Roman"/>
          <w:sz w:val="24"/>
          <w:szCs w:val="24"/>
        </w:rPr>
        <w:t xml:space="preserve"> this lawsuit, none to Plaintiff’s knowledge.]]</w:t>
      </w:r>
    </w:p>
    <w:p w14:paraId="6B3A37E2" w14:textId="77777777" w:rsidR="00A04F3E" w:rsidRPr="006806AF" w:rsidRDefault="00A04F3E" w:rsidP="00A04F3E">
      <w:pPr>
        <w:spacing w:after="0" w:line="360" w:lineRule="auto"/>
        <w:rPr>
          <w:rFonts w:ascii="Times New Roman" w:hAnsi="Times New Roman" w:cs="Times New Roman"/>
          <w:sz w:val="24"/>
          <w:szCs w:val="24"/>
        </w:rPr>
      </w:pPr>
    </w:p>
    <w:p w14:paraId="337EB9C3" w14:textId="77777777" w:rsidR="00A04F3E" w:rsidRPr="006806AF" w:rsidRDefault="00A04F3E" w:rsidP="00A04F3E">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Expert Witnesses:</w:t>
      </w:r>
    </w:p>
    <w:p w14:paraId="1FA92D9B" w14:textId="77777777" w:rsidR="00A04F3E" w:rsidRPr="006806AF" w:rsidRDefault="00A04F3E" w:rsidP="00A04F3E">
      <w:pPr>
        <w:pStyle w:val="ListParagraph"/>
        <w:numPr>
          <w:ilvl w:val="0"/>
          <w:numId w:val="1"/>
        </w:numPr>
        <w:spacing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interrogatory seeks premature disclosure of expert opinion, in violation of Code of Civil Procedure sections 2034.210, 2034.220, and 2034.270. Responding Party has not decided which, if any, expert witnesses may be called at trial; insofar as this interrogatory seeks to ascertain the identity, writings, and opinions of Responding Party’s experts who, to date, have been retained or utilized solely as advisors or consultants, it is also violative of the work-product privilege. (See </w:t>
      </w:r>
      <w:r w:rsidRPr="006806AF">
        <w:rPr>
          <w:rFonts w:ascii="Times New Roman" w:hAnsi="Times New Roman" w:cs="Times New Roman"/>
          <w:i/>
          <w:iCs/>
          <w:sz w:val="24"/>
          <w:szCs w:val="24"/>
        </w:rPr>
        <w:t>South Tahoe Public Utilities District v. Superior Court</w:t>
      </w:r>
      <w:r w:rsidRPr="006806AF">
        <w:rPr>
          <w:rFonts w:ascii="Times New Roman" w:hAnsi="Times New Roman" w:cs="Times New Roman"/>
          <w:sz w:val="24"/>
          <w:szCs w:val="24"/>
        </w:rPr>
        <w:t xml:space="preserve"> (1979) 90 Cal.App.3d 135; </w:t>
      </w:r>
      <w:r w:rsidRPr="006806AF">
        <w:rPr>
          <w:rFonts w:ascii="Times New Roman" w:hAnsi="Times New Roman" w:cs="Times New Roman"/>
          <w:i/>
          <w:iCs/>
          <w:sz w:val="24"/>
          <w:szCs w:val="24"/>
        </w:rPr>
        <w:t>Sheets v. Superior Court</w:t>
      </w:r>
      <w:r w:rsidRPr="006806AF">
        <w:rPr>
          <w:rFonts w:ascii="Times New Roman" w:hAnsi="Times New Roman" w:cs="Times New Roman"/>
          <w:sz w:val="24"/>
          <w:szCs w:val="24"/>
        </w:rPr>
        <w:t xml:space="preserve"> (1967) 257 Cal.App.2d 1; </w:t>
      </w:r>
      <w:r w:rsidRPr="006806AF">
        <w:rPr>
          <w:rFonts w:ascii="Times New Roman" w:hAnsi="Times New Roman" w:cs="Times New Roman"/>
          <w:i/>
          <w:iCs/>
          <w:sz w:val="24"/>
          <w:szCs w:val="24"/>
        </w:rPr>
        <w:t>Sanders v. Superior Court</w:t>
      </w:r>
      <w:r w:rsidRPr="006806AF">
        <w:rPr>
          <w:rFonts w:ascii="Times New Roman" w:hAnsi="Times New Roman" w:cs="Times New Roman"/>
          <w:sz w:val="24"/>
          <w:szCs w:val="24"/>
        </w:rPr>
        <w:t xml:space="preserve"> (1973) 34 Cal.App.3d 270).   </w:t>
      </w:r>
    </w:p>
    <w:p w14:paraId="78F825B9" w14:textId="77777777" w:rsidR="00A04F3E" w:rsidRPr="006806AF" w:rsidRDefault="00A04F3E" w:rsidP="00A04F3E">
      <w:pPr>
        <w:pStyle w:val="ListParagraph"/>
        <w:numPr>
          <w:ilvl w:val="0"/>
          <w:numId w:val="1"/>
        </w:numPr>
        <w:spacing w:line="360" w:lineRule="auto"/>
        <w:rPr>
          <w:rFonts w:ascii="Times New Roman" w:hAnsi="Times New Roman" w:cs="Times New Roman"/>
          <w:sz w:val="24"/>
          <w:szCs w:val="24"/>
        </w:rPr>
      </w:pPr>
      <w:r w:rsidRPr="006806AF">
        <w:rPr>
          <w:rFonts w:ascii="Times New Roman" w:hAnsi="Times New Roman" w:cs="Times New Roman"/>
          <w:sz w:val="24"/>
          <w:szCs w:val="24"/>
        </w:rPr>
        <w:t>This question seeks the identity of expert witnesses and production of expert reports in violation of California Code of Civil Procedure section 2034.</w:t>
      </w:r>
    </w:p>
    <w:p w14:paraId="49E9197B" w14:textId="77777777" w:rsidR="00A04F3E" w:rsidRPr="006806AF" w:rsidRDefault="00A04F3E" w:rsidP="00A04F3E">
      <w:pPr>
        <w:pStyle w:val="ListParagraph"/>
        <w:spacing w:line="360" w:lineRule="auto"/>
        <w:rPr>
          <w:rFonts w:ascii="Times New Roman" w:hAnsi="Times New Roman" w:cs="Times New Roman"/>
          <w:sz w:val="24"/>
          <w:szCs w:val="24"/>
        </w:rPr>
      </w:pPr>
    </w:p>
    <w:p w14:paraId="0E835728" w14:textId="77777777" w:rsidR="00A04F3E" w:rsidRPr="006806AF" w:rsidRDefault="00A04F3E" w:rsidP="00A04F3E">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Trial Witnesses: </w:t>
      </w:r>
    </w:p>
    <w:p w14:paraId="5FB35A58" w14:textId="77777777"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The question seeks disclosure of trial witnesses (other than experts) and is therefore violative of the </w:t>
      </w:r>
      <w:proofErr w:type="gramStart"/>
      <w:r w:rsidRPr="006806AF">
        <w:rPr>
          <w:rFonts w:ascii="Times New Roman" w:hAnsi="Times New Roman" w:cs="Times New Roman"/>
          <w:sz w:val="24"/>
          <w:szCs w:val="24"/>
        </w:rPr>
        <w:t>attorney</w:t>
      </w:r>
      <w:proofErr w:type="gramEnd"/>
      <w:r w:rsidRPr="006806AF">
        <w:rPr>
          <w:rFonts w:ascii="Times New Roman" w:hAnsi="Times New Roman" w:cs="Times New Roman"/>
          <w:sz w:val="24"/>
          <w:szCs w:val="24"/>
        </w:rPr>
        <w:t xml:space="preserve"> work-product privilege. </w:t>
      </w:r>
      <w:r w:rsidRPr="006806AF">
        <w:rPr>
          <w:rFonts w:ascii="Times New Roman" w:hAnsi="Times New Roman" w:cs="Times New Roman"/>
          <w:i/>
          <w:iCs/>
          <w:sz w:val="24"/>
          <w:szCs w:val="24"/>
        </w:rPr>
        <w:t>City of Long Beach v. Superior Court</w:t>
      </w:r>
      <w:r w:rsidRPr="006806AF">
        <w:rPr>
          <w:rFonts w:ascii="Times New Roman" w:hAnsi="Times New Roman" w:cs="Times New Roman"/>
          <w:sz w:val="24"/>
          <w:szCs w:val="24"/>
        </w:rPr>
        <w:t xml:space="preserve"> (1976) 64 Cal.App.2d 65</w:t>
      </w:r>
    </w:p>
    <w:p w14:paraId="04EA1DFC" w14:textId="77777777" w:rsidR="00A04F3E" w:rsidRPr="006806AF" w:rsidRDefault="00A04F3E" w:rsidP="00A04F3E">
      <w:pPr>
        <w:pStyle w:val="ListParagraph"/>
        <w:spacing w:line="360" w:lineRule="auto"/>
        <w:rPr>
          <w:rFonts w:ascii="Times New Roman" w:hAnsi="Times New Roman" w:cs="Times New Roman"/>
          <w:sz w:val="24"/>
          <w:szCs w:val="24"/>
        </w:rPr>
      </w:pPr>
    </w:p>
    <w:p w14:paraId="248D10CF" w14:textId="77777777" w:rsidR="00A04F3E" w:rsidRPr="006806AF" w:rsidRDefault="00A04F3E" w:rsidP="00A04F3E">
      <w:pPr>
        <w:spacing w:after="0" w:line="360" w:lineRule="auto"/>
        <w:rPr>
          <w:rFonts w:ascii="Times New Roman" w:hAnsi="Times New Roman" w:cs="Times New Roman"/>
          <w:b/>
          <w:bCs/>
          <w:i/>
          <w:iCs/>
          <w:sz w:val="24"/>
          <w:szCs w:val="24"/>
        </w:rPr>
      </w:pPr>
      <w:proofErr w:type="gramStart"/>
      <w:r w:rsidRPr="006806AF">
        <w:rPr>
          <w:rFonts w:ascii="Times New Roman" w:hAnsi="Times New Roman" w:cs="Times New Roman"/>
          <w:b/>
          <w:bCs/>
          <w:i/>
          <w:iCs/>
          <w:sz w:val="24"/>
          <w:szCs w:val="24"/>
        </w:rPr>
        <w:t>Non Expert</w:t>
      </w:r>
      <w:proofErr w:type="gramEnd"/>
      <w:r w:rsidRPr="006806AF">
        <w:rPr>
          <w:rFonts w:ascii="Times New Roman" w:hAnsi="Times New Roman" w:cs="Times New Roman"/>
          <w:b/>
          <w:bCs/>
          <w:i/>
          <w:iCs/>
          <w:sz w:val="24"/>
          <w:szCs w:val="24"/>
        </w:rPr>
        <w:t xml:space="preserve"> Witnesses:</w:t>
      </w:r>
    </w:p>
    <w:p w14:paraId="52CA9AE2" w14:textId="77777777" w:rsidR="00A04F3E" w:rsidRPr="006806AF" w:rsidRDefault="00A04F3E" w:rsidP="00A04F3E">
      <w:pPr>
        <w:pStyle w:val="ListParagraph"/>
        <w:numPr>
          <w:ilvl w:val="0"/>
          <w:numId w:val="1"/>
        </w:numPr>
        <w:spacing w:line="360" w:lineRule="auto"/>
        <w:rPr>
          <w:rFonts w:ascii="Times New Roman" w:hAnsi="Times New Roman" w:cs="Times New Roman"/>
          <w:sz w:val="24"/>
          <w:szCs w:val="24"/>
        </w:rPr>
      </w:pPr>
      <w:r w:rsidRPr="006806AF">
        <w:rPr>
          <w:rFonts w:ascii="Times New Roman" w:hAnsi="Times New Roman" w:cs="Times New Roman"/>
          <w:sz w:val="24"/>
          <w:szCs w:val="24"/>
        </w:rPr>
        <w:t>The identity of witnesses is protected by the attorney work-product privilege where, as in this case, “disclosure would reveal the attorney’s tactics, impressions, or evaluation of the case (absolute privilege) or would result in opposing counsel taking undue advantage of the attorney’s industry or efforts (qualified privilege).” (</w:t>
      </w:r>
      <w:r w:rsidRPr="006806AF">
        <w:rPr>
          <w:rFonts w:ascii="Times New Roman" w:hAnsi="Times New Roman" w:cs="Times New Roman"/>
          <w:i/>
          <w:iCs/>
          <w:sz w:val="24"/>
          <w:szCs w:val="24"/>
        </w:rPr>
        <w:t>Coito v. Superior Court</w:t>
      </w:r>
      <w:r w:rsidRPr="006806AF">
        <w:rPr>
          <w:rFonts w:ascii="Times New Roman" w:hAnsi="Times New Roman" w:cs="Times New Roman"/>
          <w:sz w:val="24"/>
          <w:szCs w:val="24"/>
        </w:rPr>
        <w:t xml:space="preserve"> (2012) 54 Cal.4th 480).</w:t>
      </w:r>
    </w:p>
    <w:p w14:paraId="41A4A718" w14:textId="77777777" w:rsidR="00A04F3E" w:rsidRPr="006806AF" w:rsidRDefault="00A04F3E" w:rsidP="00A04F3E">
      <w:pPr>
        <w:pStyle w:val="ListParagraph"/>
        <w:numPr>
          <w:ilvl w:val="0"/>
          <w:numId w:val="1"/>
        </w:numPr>
        <w:spacing w:line="360" w:lineRule="auto"/>
        <w:rPr>
          <w:rFonts w:ascii="Times New Roman" w:hAnsi="Times New Roman" w:cs="Times New Roman"/>
          <w:sz w:val="24"/>
          <w:szCs w:val="24"/>
        </w:rPr>
      </w:pPr>
      <w:r w:rsidRPr="006806AF">
        <w:rPr>
          <w:rFonts w:ascii="Times New Roman" w:hAnsi="Times New Roman" w:cs="Times New Roman"/>
          <w:sz w:val="24"/>
          <w:szCs w:val="24"/>
        </w:rPr>
        <w:lastRenderedPageBreak/>
        <w:t>The question calls for a professional opinion from a lay witness; consequently, the question is oppressive, harassing, and without a foundational showing of competence.</w:t>
      </w:r>
    </w:p>
    <w:p w14:paraId="12F03041" w14:textId="77777777" w:rsidR="00A04F3E" w:rsidRPr="006806AF" w:rsidRDefault="00A04F3E" w:rsidP="00A04F3E">
      <w:pPr>
        <w:spacing w:after="0" w:line="360" w:lineRule="auto"/>
        <w:rPr>
          <w:rFonts w:ascii="Times New Roman" w:hAnsi="Times New Roman" w:cs="Times New Roman"/>
          <w:sz w:val="24"/>
          <w:szCs w:val="24"/>
        </w:rPr>
      </w:pPr>
    </w:p>
    <w:p w14:paraId="2377ED9B" w14:textId="77777777" w:rsidR="00A04F3E" w:rsidRPr="006806AF" w:rsidRDefault="00A04F3E" w:rsidP="00A04F3E">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Calls for expert opinion:</w:t>
      </w:r>
    </w:p>
    <w:p w14:paraId="6B5A50BB" w14:textId="0951E2E6"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Responding Party is not a medical doctor, economist, medical billing reviewer, biomechanical expert, nor an accident reconstructionist in order to determine such issues as liability, fault, causation, negligence, and apportionment.</w:t>
      </w:r>
      <w:r w:rsidRPr="00A04F3E">
        <w:rPr>
          <w:rFonts w:ascii="Times New Roman" w:hAnsi="Times New Roman" w:cs="Times New Roman"/>
          <w:sz w:val="24"/>
          <w:szCs w:val="24"/>
        </w:rPr>
        <w:t xml:space="preserve"> </w:t>
      </w:r>
      <w:r>
        <w:rPr>
          <w:rFonts w:ascii="Times New Roman" w:hAnsi="Times New Roman" w:cs="Times New Roman"/>
          <w:sz w:val="24"/>
          <w:szCs w:val="24"/>
        </w:rPr>
        <w:t>This</w:t>
      </w:r>
      <w:r w:rsidRPr="006806AF">
        <w:rPr>
          <w:rFonts w:ascii="Times New Roman" w:hAnsi="Times New Roman" w:cs="Times New Roman"/>
          <w:sz w:val="24"/>
          <w:szCs w:val="24"/>
        </w:rPr>
        <w:t xml:space="preserve"> Special Interrogatory tends to solicit a professional opinion from a lay person, and as such, has no foundational basis. Further objection, this Special Interrogatory lacks foundation and calls for a legal conclusion beyond the expertise, scope, knowledge or skill of Responding Party.</w:t>
      </w:r>
    </w:p>
    <w:p w14:paraId="7A0FD219" w14:textId="77777777" w:rsidR="00A04F3E" w:rsidRPr="006806AF" w:rsidRDefault="00A04F3E" w:rsidP="00A04F3E">
      <w:pPr>
        <w:spacing w:after="0" w:line="360" w:lineRule="auto"/>
        <w:rPr>
          <w:rFonts w:ascii="Times New Roman" w:hAnsi="Times New Roman" w:cs="Times New Roman"/>
          <w:sz w:val="24"/>
          <w:szCs w:val="24"/>
        </w:rPr>
      </w:pPr>
    </w:p>
    <w:p w14:paraId="4BFBF7C0" w14:textId="5D503DB2" w:rsidR="00A04F3E" w:rsidRPr="006806AF" w:rsidRDefault="00A04F3E" w:rsidP="00A04F3E">
      <w:pPr>
        <w:spacing w:after="0" w:line="360" w:lineRule="auto"/>
        <w:rPr>
          <w:rFonts w:ascii="Times New Roman" w:hAnsi="Times New Roman" w:cs="Times New Roman"/>
          <w:b/>
          <w:bCs/>
          <w:i/>
          <w:iCs/>
          <w:sz w:val="24"/>
          <w:szCs w:val="24"/>
        </w:rPr>
      </w:pPr>
      <w:r w:rsidRPr="006806AF">
        <w:rPr>
          <w:rFonts w:ascii="Times New Roman" w:hAnsi="Times New Roman" w:cs="Times New Roman"/>
          <w:b/>
          <w:bCs/>
          <w:i/>
          <w:iCs/>
          <w:sz w:val="24"/>
          <w:szCs w:val="24"/>
        </w:rPr>
        <w:t xml:space="preserve">Legal conclusion objection: </w:t>
      </w:r>
    </w:p>
    <w:p w14:paraId="1C5C6588" w14:textId="77777777" w:rsidR="00A04F3E" w:rsidRPr="006806AF"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 xml:space="preserve">This Special Interrogatory seeks a legal conclusion of an ultimate fact rather than a conclusion of an evidentiary fact which invades the domain of the trier of act. </w:t>
      </w:r>
    </w:p>
    <w:p w14:paraId="1FAFD1A6" w14:textId="77777777" w:rsidR="00A04F3E" w:rsidRDefault="00A04F3E" w:rsidP="00A04F3E">
      <w:pPr>
        <w:pStyle w:val="ListParagraph"/>
        <w:numPr>
          <w:ilvl w:val="0"/>
          <w:numId w:val="1"/>
        </w:numPr>
        <w:spacing w:after="0" w:line="360" w:lineRule="auto"/>
        <w:rPr>
          <w:rFonts w:ascii="Times New Roman" w:hAnsi="Times New Roman" w:cs="Times New Roman"/>
          <w:sz w:val="24"/>
          <w:szCs w:val="24"/>
        </w:rPr>
      </w:pPr>
      <w:r w:rsidRPr="006806AF">
        <w:rPr>
          <w:rFonts w:ascii="Times New Roman" w:hAnsi="Times New Roman" w:cs="Times New Roman"/>
          <w:sz w:val="24"/>
          <w:szCs w:val="24"/>
        </w:rPr>
        <w:t>This Special Interrogatory lacks foundation and calls for a legal conclusion beyond the expertise, scope, knowledge or skill of Responding Party.</w:t>
      </w:r>
    </w:p>
    <w:p w14:paraId="370A8C78" w14:textId="77777777" w:rsidR="00A04F3E" w:rsidRDefault="00A04F3E" w:rsidP="00A04F3E">
      <w:pPr>
        <w:spacing w:after="0" w:line="360" w:lineRule="auto"/>
        <w:rPr>
          <w:rFonts w:ascii="Times New Roman" w:hAnsi="Times New Roman" w:cs="Times New Roman"/>
          <w:sz w:val="24"/>
          <w:szCs w:val="24"/>
        </w:rPr>
      </w:pPr>
    </w:p>
    <w:p w14:paraId="2ABBB628" w14:textId="21EFBC1A" w:rsidR="00A04F3E" w:rsidRPr="00A04F3E" w:rsidRDefault="00A04F3E" w:rsidP="00A04F3E">
      <w:pPr>
        <w:spacing w:after="0" w:line="240" w:lineRule="auto"/>
        <w:rPr>
          <w:rFonts w:ascii="Times New Roman" w:hAnsi="Times New Roman" w:cs="Times New Roman"/>
          <w:b/>
          <w:bCs/>
          <w:i/>
          <w:iCs/>
          <w:sz w:val="24"/>
          <w:szCs w:val="24"/>
          <w:highlight w:val="white"/>
        </w:rPr>
      </w:pPr>
      <w:r>
        <w:rPr>
          <w:rFonts w:ascii="Times New Roman" w:hAnsi="Times New Roman" w:cs="Times New Roman"/>
          <w:b/>
          <w:bCs/>
          <w:i/>
          <w:iCs/>
          <w:sz w:val="24"/>
          <w:szCs w:val="24"/>
          <w:highlight w:val="white"/>
        </w:rPr>
        <w:t>Any interrogatory that asks for cell</w:t>
      </w:r>
      <w:r w:rsidRPr="00A04F3E">
        <w:rPr>
          <w:rFonts w:ascii="Times New Roman" w:hAnsi="Times New Roman" w:cs="Times New Roman"/>
          <w:b/>
          <w:bCs/>
          <w:i/>
          <w:iCs/>
          <w:sz w:val="24"/>
          <w:szCs w:val="24"/>
          <w:highlight w:val="white"/>
        </w:rPr>
        <w:t xml:space="preserve"> phone</w:t>
      </w:r>
      <w:r>
        <w:rPr>
          <w:rFonts w:ascii="Times New Roman" w:hAnsi="Times New Roman" w:cs="Times New Roman"/>
          <w:b/>
          <w:bCs/>
          <w:i/>
          <w:iCs/>
          <w:sz w:val="24"/>
          <w:szCs w:val="24"/>
          <w:highlight w:val="white"/>
        </w:rPr>
        <w:t xml:space="preserve"> records, call logs, text messages</w:t>
      </w:r>
      <w:r w:rsidRPr="00A04F3E">
        <w:rPr>
          <w:rFonts w:ascii="Times New Roman" w:hAnsi="Times New Roman" w:cs="Times New Roman"/>
          <w:b/>
          <w:bCs/>
          <w:i/>
          <w:iCs/>
          <w:sz w:val="24"/>
          <w:szCs w:val="24"/>
          <w:highlight w:val="white"/>
        </w:rPr>
        <w:t>:</w:t>
      </w:r>
    </w:p>
    <w:p w14:paraId="7E47D8D8" w14:textId="77777777" w:rsidR="00A04F3E" w:rsidRPr="0063185A" w:rsidRDefault="00A04F3E" w:rsidP="00A04F3E">
      <w:pPr>
        <w:spacing w:after="0" w:line="240" w:lineRule="auto"/>
        <w:rPr>
          <w:rFonts w:ascii="Times New Roman" w:hAnsi="Times New Roman" w:cs="Times New Roman"/>
          <w:b/>
          <w:bCs/>
          <w:sz w:val="24"/>
          <w:szCs w:val="24"/>
          <w:highlight w:val="white"/>
        </w:rPr>
      </w:pPr>
    </w:p>
    <w:p w14:paraId="2556DF24" w14:textId="2B3FAF94" w:rsidR="00A04F3E" w:rsidRPr="00A04F3E" w:rsidRDefault="00A04F3E" w:rsidP="00A04F3E">
      <w:pPr>
        <w:pStyle w:val="ListParagraph"/>
        <w:widowControl w:val="0"/>
        <w:numPr>
          <w:ilvl w:val="0"/>
          <w:numId w:val="2"/>
        </w:numPr>
        <w:spacing w:after="0" w:line="240" w:lineRule="auto"/>
        <w:jc w:val="both"/>
        <w:rPr>
          <w:rFonts w:ascii="Times New Roman" w:hAnsi="Times New Roman" w:cs="Times New Roman"/>
          <w:bCs/>
          <w:sz w:val="24"/>
          <w:szCs w:val="24"/>
        </w:rPr>
      </w:pPr>
      <w:r w:rsidRPr="00A04F3E">
        <w:rPr>
          <w:rFonts w:ascii="Times New Roman" w:hAnsi="Times New Roman" w:cs="Times New Roman"/>
          <w:bCs/>
          <w:sz w:val="24"/>
          <w:szCs w:val="24"/>
        </w:rPr>
        <w:t xml:space="preserve">This request </w:t>
      </w:r>
      <w:r w:rsidRPr="00A04F3E">
        <w:rPr>
          <w:rFonts w:ascii="Times New Roman" w:hAnsi="Times New Roman" w:cs="Times New Roman"/>
          <w:sz w:val="24"/>
          <w:szCs w:val="24"/>
        </w:rPr>
        <w:t xml:space="preserve">seeks information neither relevant to the subject matter of this lawsuit nor calculated to lead to the discovery of admissible evidence. </w:t>
      </w:r>
      <w:r w:rsidRPr="00A04F3E">
        <w:rPr>
          <w:rFonts w:ascii="Times New Roman" w:hAnsi="Times New Roman" w:cs="Times New Roman"/>
          <w:bCs/>
          <w:sz w:val="24"/>
          <w:szCs w:val="24"/>
        </w:rPr>
        <w:t>In addition, this interrogatory invades Plaintiff’s constitutional right to privacy, and is overbroad, burdensome, and oppressive. Discovery and investigation are ongoing. Plaintiff reserves the right to supplement and/or amend this response.</w:t>
      </w:r>
    </w:p>
    <w:p w14:paraId="10BB278C" w14:textId="77777777" w:rsidR="00A04F3E" w:rsidRPr="009E38EF" w:rsidRDefault="00A04F3E" w:rsidP="00A04F3E">
      <w:pPr>
        <w:spacing w:after="0" w:line="360" w:lineRule="auto"/>
        <w:rPr>
          <w:rFonts w:ascii="Times New Roman" w:hAnsi="Times New Roman" w:cs="Times New Roman"/>
          <w:sz w:val="24"/>
          <w:szCs w:val="24"/>
        </w:rPr>
      </w:pPr>
    </w:p>
    <w:p w14:paraId="50AF2CAE" w14:textId="77777777" w:rsidR="00B5681E" w:rsidRDefault="00B5681E"/>
    <w:sectPr w:rsidR="00B56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27A32"/>
    <w:multiLevelType w:val="hybridMultilevel"/>
    <w:tmpl w:val="1B3644CA"/>
    <w:lvl w:ilvl="0" w:tplc="AB18280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309E8"/>
    <w:multiLevelType w:val="hybridMultilevel"/>
    <w:tmpl w:val="5412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845A8"/>
    <w:multiLevelType w:val="hybridMultilevel"/>
    <w:tmpl w:val="F6E8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CA0799"/>
    <w:multiLevelType w:val="hybridMultilevel"/>
    <w:tmpl w:val="7486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8829636">
    <w:abstractNumId w:val="0"/>
  </w:num>
  <w:num w:numId="2" w16cid:durableId="921794244">
    <w:abstractNumId w:val="1"/>
  </w:num>
  <w:num w:numId="3" w16cid:durableId="1169635010">
    <w:abstractNumId w:val="3"/>
  </w:num>
  <w:num w:numId="4" w16cid:durableId="1167013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F3E"/>
    <w:rsid w:val="006F6F72"/>
    <w:rsid w:val="00844B4D"/>
    <w:rsid w:val="00A04F3E"/>
    <w:rsid w:val="00AB3C4B"/>
    <w:rsid w:val="00AC376E"/>
    <w:rsid w:val="00B5681E"/>
    <w:rsid w:val="00B651F3"/>
    <w:rsid w:val="00BA178C"/>
    <w:rsid w:val="00BE5F6F"/>
    <w:rsid w:val="00D76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E7C0"/>
  <w15:chartTrackingRefBased/>
  <w15:docId w15:val="{312B35B4-EB09-4BF2-A171-B9289127D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F3E"/>
    <w:pPr>
      <w:spacing w:line="259" w:lineRule="auto"/>
    </w:pPr>
    <w:rPr>
      <w:kern w:val="0"/>
      <w:sz w:val="22"/>
      <w:szCs w:val="22"/>
      <w14:ligatures w14:val="none"/>
    </w:rPr>
  </w:style>
  <w:style w:type="paragraph" w:styleId="Heading1">
    <w:name w:val="heading 1"/>
    <w:basedOn w:val="Normal"/>
    <w:next w:val="Normal"/>
    <w:link w:val="Heading1Char"/>
    <w:uiPriority w:val="9"/>
    <w:qFormat/>
    <w:rsid w:val="00A04F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F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4F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F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F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F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F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F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F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F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F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F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F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F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F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F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F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F3E"/>
    <w:rPr>
      <w:rFonts w:eastAsiaTheme="majorEastAsia" w:cstheme="majorBidi"/>
      <w:color w:val="272727" w:themeColor="text1" w:themeTint="D8"/>
    </w:rPr>
  </w:style>
  <w:style w:type="paragraph" w:styleId="Title">
    <w:name w:val="Title"/>
    <w:basedOn w:val="Normal"/>
    <w:next w:val="Normal"/>
    <w:link w:val="TitleChar"/>
    <w:uiPriority w:val="10"/>
    <w:qFormat/>
    <w:rsid w:val="00A04F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F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F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F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F3E"/>
    <w:pPr>
      <w:spacing w:before="160"/>
      <w:jc w:val="center"/>
    </w:pPr>
    <w:rPr>
      <w:i/>
      <w:iCs/>
      <w:color w:val="404040" w:themeColor="text1" w:themeTint="BF"/>
    </w:rPr>
  </w:style>
  <w:style w:type="character" w:customStyle="1" w:styleId="QuoteChar">
    <w:name w:val="Quote Char"/>
    <w:basedOn w:val="DefaultParagraphFont"/>
    <w:link w:val="Quote"/>
    <w:uiPriority w:val="29"/>
    <w:rsid w:val="00A04F3E"/>
    <w:rPr>
      <w:i/>
      <w:iCs/>
      <w:color w:val="404040" w:themeColor="text1" w:themeTint="BF"/>
    </w:rPr>
  </w:style>
  <w:style w:type="paragraph" w:styleId="ListParagraph">
    <w:name w:val="List Paragraph"/>
    <w:basedOn w:val="Normal"/>
    <w:uiPriority w:val="34"/>
    <w:qFormat/>
    <w:rsid w:val="00A04F3E"/>
    <w:pPr>
      <w:ind w:left="720"/>
      <w:contextualSpacing/>
    </w:pPr>
  </w:style>
  <w:style w:type="character" w:styleId="IntenseEmphasis">
    <w:name w:val="Intense Emphasis"/>
    <w:basedOn w:val="DefaultParagraphFont"/>
    <w:uiPriority w:val="21"/>
    <w:qFormat/>
    <w:rsid w:val="00A04F3E"/>
    <w:rPr>
      <w:i/>
      <w:iCs/>
      <w:color w:val="0F4761" w:themeColor="accent1" w:themeShade="BF"/>
    </w:rPr>
  </w:style>
  <w:style w:type="paragraph" w:styleId="IntenseQuote">
    <w:name w:val="Intense Quote"/>
    <w:basedOn w:val="Normal"/>
    <w:next w:val="Normal"/>
    <w:link w:val="IntenseQuoteChar"/>
    <w:uiPriority w:val="30"/>
    <w:qFormat/>
    <w:rsid w:val="00A04F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F3E"/>
    <w:rPr>
      <w:i/>
      <w:iCs/>
      <w:color w:val="0F4761" w:themeColor="accent1" w:themeShade="BF"/>
    </w:rPr>
  </w:style>
  <w:style w:type="character" w:styleId="IntenseReference">
    <w:name w:val="Intense Reference"/>
    <w:basedOn w:val="DefaultParagraphFont"/>
    <w:uiPriority w:val="32"/>
    <w:qFormat/>
    <w:rsid w:val="00A04F3E"/>
    <w:rPr>
      <w:b/>
      <w:bCs/>
      <w:smallCaps/>
      <w:color w:val="0F4761" w:themeColor="accent1" w:themeShade="BF"/>
      <w:spacing w:val="5"/>
    </w:rPr>
  </w:style>
  <w:style w:type="character" w:customStyle="1" w:styleId="Underline">
    <w:name w:val="Underline"/>
    <w:rsid w:val="00A04F3E"/>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2725</Words>
  <Characters>15533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Pizarro</dc:creator>
  <cp:keywords/>
  <dc:description/>
  <cp:lastModifiedBy>Oliver Pizarro</cp:lastModifiedBy>
  <cp:revision>4</cp:revision>
  <dcterms:created xsi:type="dcterms:W3CDTF">2025-06-12T19:08:00Z</dcterms:created>
  <dcterms:modified xsi:type="dcterms:W3CDTF">2025-06-13T23:29:00Z</dcterms:modified>
</cp:coreProperties>
</file>