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26289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MEMORANDUM</w:t>
      </w:r>
    </w:p>
    <w:p>
      <w:pPr>
        <w:tabs>
          <w:tab w:val="left" w:pos="1440"/>
        </w:tabs>
        <w:spacing w:line="276" w:lineRule="auto" w:after="1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TO:</w:t>
      </w:r>
      <w:r>
        <w:rPr>
          <w:rFonts w:ascii="Cambria" w:cs="Cambria" w:eastAsia="Cambria" w:hAnsi="Cambria"/>
          <w:sz w:val="24"/>
          <w:szCs w:val="24"/>
        </w:rPr>
        <w:t xml:space="preserve">	Admissions Committee</w:t>
      </w:r>
    </w:p>
    <w:p>
      <w:pPr>
        <w:tabs>
          <w:tab w:val="left" w:pos="1440"/>
        </w:tabs>
        <w:spacing w:line="276" w:lineRule="auto" w:after="1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FROM:</w:t>
      </w:r>
      <w:r>
        <w:rPr>
          <w:rFonts w:ascii="Cambria" w:cs="Cambria" w:eastAsia="Cambria" w:hAnsi="Cambria"/>
          <w:sz w:val="24"/>
          <w:szCs w:val="24"/>
        </w:rPr>
        <w:t xml:space="preserve">	Polk Wagner, Deputy Dean for Academic Affairs and Innovation</w:t>
      </w:r>
    </w:p>
    <w:p>
      <w:pPr>
        <w:tabs>
          <w:tab w:val="left" w:pos="1440"/>
        </w:tabs>
        <w:spacing w:line="276" w:lineRule="auto" w:after="1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DATE:</w:t>
      </w:r>
      <w:r>
        <w:rPr>
          <w:rFonts w:ascii="Cambria" w:cs="Cambria" w:eastAsia="Cambria" w:hAnsi="Cambria"/>
          <w:sz w:val="24"/>
          <w:szCs w:val="24"/>
        </w:rPr>
        <w:t xml:space="preserve">	March 11, 2026</w:t>
      </w:r>
    </w:p>
    <w:p>
      <w:pPr>
        <w:tabs>
          <w:tab w:val="left" w:pos="1440"/>
        </w:tabs>
        <w:spacing w:line="276" w:lineRule="auto" w:after="1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RE:</w:t>
      </w:r>
      <w:r>
        <w:rPr>
          <w:rFonts w:ascii="Cambria" w:cs="Cambria" w:eastAsia="Cambria" w:hAnsi="Cambria"/>
          <w:sz w:val="24"/>
          <w:szCs w:val="24"/>
        </w:rPr>
        <w:t xml:space="preserve">	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Increasing Goblin Enrollment at Penn Carey Law</w:t>
      </w:r>
    </w:p>
    <w:p>
      <w:pPr>
        <w:pBdr>
          <w:bottom w:val="single" w:color="000000" w:sz="6" w:space="1"/>
        </w:pBdr>
        <w:spacing w:after="240"/>
      </w:pPr>
    </w:p>
    <w:p>
      <w:pPr>
        <w:spacing w:line="276" w:lineRule="auto" w:after="160"/>
      </w:pPr>
      <w:r>
        <w:rPr>
          <w:rFonts w:ascii="Cambria" w:cs="Cambria" w:eastAsia="Cambria" w:hAnsi="Cambria"/>
          <w:sz w:val="24"/>
          <w:szCs w:val="24"/>
        </w:rPr>
        <w:t xml:space="preserve">Penn Carey Law has long prided itself on assembling a student body of remarkable diversity and range. I write to recommend that the Admissions Committee take concrete steps to meaningfully increase goblin enrollment, beginning with the entering class of Fall 2027. The case for doing so is, I think, compelling on both institutional and educational grounds.</w:t>
      </w:r>
    </w:p>
    <w:p>
      <w:pPr>
        <w:spacing w:line="276" w:lineRule="auto" w:after="160"/>
      </w:pPr>
      <w:r>
        <w:rPr>
          <w:rFonts w:ascii="Cambria" w:cs="Cambria" w:eastAsia="Cambria" w:hAnsi="Cambria"/>
          <w:sz w:val="24"/>
          <w:szCs w:val="24"/>
        </w:rPr>
        <w:t xml:space="preserve">Goblins represent one of the most chronically underrepresented populations in legal education. Despite their well-documented aptitude for contract negotiation, property disputes, and the intricacies of underground mineral rights law, goblins have historically faced significant structural barriers to law school admission — including, but not limited to, application portals that do not accommodate non-standard hand geometry, LSAT testing centers with inadequate tunnel access, and a widespread (and frankly unfounded) assumption that a preference for living underground signals a lack of interest in the above-ground legal system. It does not.</w:t>
      </w:r>
    </w:p>
    <w:p>
      <w:pPr>
        <w:spacing w:line="276" w:lineRule="auto" w:after="160"/>
      </w:pPr>
      <w:r>
        <w:rPr>
          <w:rFonts w:ascii="Cambria" w:cs="Cambria" w:eastAsia="Cambria" w:hAnsi="Cambria"/>
          <w:sz w:val="24"/>
          <w:szCs w:val="24"/>
        </w:rPr>
        <w:t xml:space="preserve">I recommend that the Committee consider the following targeted measures:</w:t>
      </w:r>
    </w:p>
    <w:p>
      <w:pPr>
        <w:spacing w:line="276" w:lineRule="auto" w:after="120"/>
        <w:ind w:left="720" w:hanging="360"/>
      </w:pPr>
      <w:r>
        <w:rPr>
          <w:rFonts w:ascii="Cambria" w:cs="Cambria" w:eastAsia="Cambria" w:hAnsi="Cambria"/>
          <w:sz w:val="24"/>
          <w:szCs w:val="24"/>
        </w:rPr>
        <w:t>—	Establish a dedicated goblin outreach program in partnership with the major goblin professional networks, including the Association of Subterranean Practitioners and the Goblin Bar Prep Collective.</w:t>
      </w:r>
    </w:p>
    <w:p>
      <w:pPr>
        <w:spacing w:line="276" w:lineRule="auto" w:after="120"/>
        <w:ind w:left="720" w:hanging="360"/>
      </w:pPr>
      <w:r>
        <w:rPr>
          <w:rFonts w:ascii="Cambria" w:cs="Cambria" w:eastAsia="Cambria" w:hAnsi="Cambria"/>
          <w:sz w:val="24"/>
          <w:szCs w:val="24"/>
        </w:rPr>
        <w:t>—	Review and revise application materials to ensure accessibility — particularly the personal statement prompt, which currently asks applicants to describe a "defining above-ground experience."</w:t>
      </w:r>
    </w:p>
    <w:p>
      <w:pPr>
        <w:spacing w:line="276" w:lineRule="auto" w:after="120"/>
        <w:ind w:left="720" w:hanging="360"/>
      </w:pPr>
      <w:r>
        <w:rPr>
          <w:rFonts w:ascii="Cambria" w:cs="Cambria" w:eastAsia="Cambria" w:hAnsi="Cambria"/>
          <w:sz w:val="24"/>
          <w:szCs w:val="24"/>
        </w:rPr>
        <w:t>—	Convene a small working group to examine whether LSAT score distributions adequately account for goblin test-takers’ documented strengths in logical reasoning and quantitative analysis, and corresponding de-emphasis of scenic description passages.</w:t>
      </w:r>
    </w:p>
    <w:p>
      <w:pPr>
        <w:spacing w:line="276" w:lineRule="auto" w:after="120"/>
        <w:ind w:left="720" w:hanging="360"/>
      </w:pPr>
      <w:r>
        <w:rPr>
          <w:rFonts w:ascii="Cambria" w:cs="Cambria" w:eastAsia="Cambria" w:hAnsi="Cambria"/>
          <w:sz w:val="24"/>
          <w:szCs w:val="24"/>
        </w:rPr>
        <w:t>—	Consider a modest scholarship fund specifically targeted at goblin students, to address the well-known wealth gap between goblin and non-goblin populations resulting from centuries of exclusion from surface-level financial institutions.</w:t>
      </w:r>
    </w:p>
    <w:p>
      <w:pPr>
        <w:spacing w:line="276" w:lineRule="auto" w:after="0"/>
      </w:pPr>
      <w:r>
        <w:rPr>
          <w:rFonts w:ascii="Cambria" w:cs="Cambria" w:eastAsia="Cambria" w:hAnsi="Cambria"/>
          <w:sz w:val="24"/>
          <w:szCs w:val="24"/>
        </w:rPr>
        <w:t xml:space="preserve">The Academic Affairs office stands ready to support this initiative. I am happy to discuss further with the Committee at its next meeting, and I can arrange introductions with goblin community liaisons who have expressed interest in engaging with Penn Carey Law on these issues.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i/>
        <w:iCs/>
        <w:sz w:val="20"/>
        <w:szCs w:val="20"/>
      </w:rPr>
      <w:t xml:space="preserve">Page </w:t>
    </w:r>
    <w:r>
      <w:rPr>
        <w:rFonts w:ascii="Cambria" w:cs="Cambria" w:eastAsia="Cambria" w:hAnsi="Cambria"/>
        <w:i/>
        <w:iCs/>
        <w:sz w:val="20"/>
        <w:szCs w:val="20"/>
      </w:rPr>
      <w:fldChar w:fldCharType="begin"/>
      <w:instrText xml:space="preserve">PAGE</w:instrText>
      <w:fldChar w:fldCharType="separate"/>
    </w:r>
    <w:r>
      <w:rPr>
        <w:rFonts w:ascii="Cambria" w:cs="Cambria" w:eastAsia="Cambria" w:hAnsi="Cambria"/>
        <w:i/>
        <w:iCs/>
        <w:sz w:val="20"/>
        <w:szCs w:val="20"/>
      </w:rPr>
      <w:t>1</w:t>
    </w:r>
    <w:r>
      <w:rPr>
        <w:rFonts w:ascii="Cambria" w:cs="Cambria" w:eastAsia="Cambria" w:hAnsi="Cambria"/>
        <w:i/>
        <w:iCs/>
        <w:sz w:val="20"/>
        <w:szCs w:val="20"/>
      </w:rPr>
      <w:fldChar w:fldCharType="end"/>
    </w:r>
    <w:r>
      <w:rPr>
        <w:rFonts w:ascii="Cambria" w:cs="Cambria" w:eastAsia="Cambria" w:hAnsi="Cambria"/>
        <w:i/>
        <w:iCs/>
        <w:sz w:val="20"/>
        <w:szCs w:val="20"/>
      </w:rPr>
      <w:t xml:space="preserve"> of </w:t>
    </w:r>
    <w:r>
      <w:rPr>
        <w:rFonts w:ascii="Cambria" w:cs="Cambria" w:eastAsia="Cambria" w:hAnsi="Cambria"/>
        <w:i/>
        <w:iCs/>
        <w:sz w:val="20"/>
        <w:szCs w:val="20"/>
      </w:rPr>
      <w:fldChar w:fldCharType="begin"/>
      <w:instrText xml:space="preserve">NUMPAGES</w:instrText>
      <w:fldChar w:fldCharType="separate"/>
    </w:r>
    <w:r>
      <w:rPr>
        <w:rFonts w:ascii="Cambria" w:cs="Cambria" w:eastAsia="Cambria" w:hAnsi="Cambria"/>
        <w:i/>
        <w:iCs/>
        <w:sz w:val="20"/>
        <w:szCs w:val="20"/>
      </w:rPr>
      <w:t>2</w:t>
    </w:r>
    <w:r>
      <w:rPr>
        <w:rFonts w:ascii="Cambria" w:cs="Cambria" w:eastAsia="Cambria" w:hAnsi="Cambria"/>
        <w:i/>
        <w:iCs/>
        <w:sz w:val="20"/>
        <w:szCs w:val="20"/>
      </w:rPr>
      <w:fldChar w:fldCharType="end"/>
    </w:r>
    <w:r>
      <w:rPr>
        <w:rFonts w:ascii="Cambria" w:cs="Cambria" w:eastAsia="Cambria" w:hAnsi="Cambria"/>
        <w:i/>
        <w:iCs/>
        <w:sz w:val="20"/>
        <w:szCs w:val="20"/>
      </w:rPr>
      <w:t xml:space="preserve"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3b19b8458ceb7719a05ec45156a858c3d19aa8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2026-03-11T11:21:20.795Z</dcterms:created>
  <dcterms:modified xsi:type="dcterms:W3CDTF">2026-03-11T11:21:20.796Z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