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40"/>
      </w:pPr>
      <w:r>
        <w:rPr>
          <w:rFonts w:ascii="Liberation Sans" w:hAnsi="Liberation Sans"/>
          <w:b/>
          <w:color w:val="3F6F9F"/>
          <w:sz w:val="20"/>
        </w:rPr>
        <w:t>HACKATHON SURVIVAL GUIDE</w:t>
      </w:r>
    </w:p>
    <w:p>
      <w:pPr>
        <w:keepNext/>
        <w:spacing w:before="0" w:after="80"/>
        <w:pBdr>
          <w:bottom w:val="single" w:sz="8" w:space="1" w:color="3F6F9F"/>
        </w:pBdr>
      </w:pPr>
      <w:r>
        <w:rPr>
          <w:rFonts w:ascii="Liberation Sans" w:hAnsi="Liberation Sans"/>
          <w:b/>
          <w:color w:val="17283F"/>
          <w:sz w:val="50"/>
        </w:rPr>
        <w:t>Build the smallest real Strategy Time Machine</w:t>
      </w:r>
    </w:p>
    <w:p>
      <w:pPr>
        <w:spacing w:before="80" w:after="200"/>
      </w:pPr>
      <w:r>
        <w:rPr>
          <w:rFonts w:ascii="Liberation Sans" w:hAnsi="Liberation Sans"/>
          <w:i/>
          <w:color w:val="647080"/>
          <w:sz w:val="22"/>
        </w:rPr>
        <w:t>Zillow Offers historical replay  •  Neo4j point-in-time graph  •  One-day build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E8F4EC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TOMORROW'S MISSION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Prove one thing: the same graph shows a different, traceable strategic state when the historical evidence cutoff moves from 10 February 2021 to 5 August 2021.</w:t>
            </w:r>
          </w:p>
        </w:tc>
      </w:tr>
    </w:tbl>
    <w:p>
      <w:pPr>
        <w:spacing w:after="20"/>
      </w:pPr>
    </w:p>
    <w:p>
      <w:pPr>
        <w:pStyle w:val="Heading1"/>
      </w:pPr>
      <w:r>
        <w:t>1. The idea you are building</w:t>
      </w:r>
    </w:p>
    <w:p>
      <w:r>
        <w:rPr>
          <w:rFonts w:ascii="Liberation Serif" w:hAnsi="Liberation Serif"/>
          <w:b/>
          <w:color w:val="20252B"/>
          <w:sz w:val="20"/>
        </w:rPr>
        <w:t xml:space="preserve">A time machine for strategic decisions. </w:t>
      </w:r>
      <w:r>
        <w:rPr>
          <w:rFonts w:ascii="Liberation Serif" w:hAnsi="Liberation Serif"/>
          <w:color w:val="20252B"/>
          <w:sz w:val="20"/>
        </w:rPr>
        <w:t>It connects a strategic bet to the assumptions that must be true, dated evidence, downstream exposure, alternative scenarios and decision conditions.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EAF1F7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THE CLAIM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Not: “The graph predicted Zillow.” Instead: “Using only then-available evidence, the graph produced a traceable, decision-relevant change and showed exactly why.”</w:t>
            </w:r>
          </w:p>
        </w:tc>
      </w:tr>
    </w:tbl>
    <w:p>
      <w:pPr>
        <w:spacing w:after="20"/>
      </w:pPr>
    </w:p>
    <w:p>
      <w:pPr>
        <w:pStyle w:val="Heading2"/>
      </w:pPr>
      <w:r>
        <w:t>The graph-native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Meaning in the demo</w:t>
            </w:r>
          </w:p>
        </w:tc>
      </w:tr>
      <w:tr>
        <w:trPr>
          <w:cantSplit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Evidence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 dated filing fact or management claim with public_from.</w:t>
            </w:r>
          </w:p>
        </w:tc>
      </w:tr>
      <w:tr>
        <w:trPr>
          <w:cantSplit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Assumption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Something that must hold for aggressive iBuying to work.</w:t>
            </w:r>
          </w:p>
        </w:tc>
      </w:tr>
      <w:tr>
        <w:trPr>
          <w:cantSplit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Exposure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The consequence if that assumption is weak or false.</w:t>
            </w:r>
          </w:p>
        </w:tc>
      </w:tr>
      <w:tr>
        <w:trPr>
          <w:cantSplit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Scenario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Aggressive principal, hybrid/partner, or capital-light.</w:t>
            </w:r>
          </w:p>
        </w:tc>
      </w:tr>
      <w:tr>
        <w:trPr>
          <w:cantSplit/>
        </w:trPr>
        <w:tc>
          <w:tcPr>
            <w:tcW w:type="dxa" w:w="18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Action</w:t>
            </w:r>
          </w:p>
        </w:tc>
        <w:tc>
          <w:tcPr>
            <w:tcW w:type="dxa" w:w="79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CONTINUE WITH GUARDRAILS or REASSESS / PAUSE-SCALE.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What you build tomorrow — and nothing more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10:00–11:30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Learn supplied tools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Know where Aura and the Cypher editor are.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11:30–11:45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Team/open mic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Say the 20-second idea; team only if it reduces risk.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11:45–12:15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Create database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Aura connection works.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12:15–12:35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Seed graph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Copy-paste script completes; count query returns data.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12:35–13:15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Time machine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Both cutoff dates show different eligible evidence.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13:15–14:00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Scenario + tripwire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Scenario score runs and Q2 tripwire fires.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15:00–16:00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Optional explanation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Add LLM/UI only after the graph is stable.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16:00–16:30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Freeze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Stop features; save queries and screenshots.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16:30–17:15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Rehearse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Three-minute demo works without improvisation.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17:15–17:30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Buffer</w:t>
            </w:r>
          </w:p>
        </w:tc>
        <w:tc>
          <w:tcPr>
            <w:tcW w:type="dxa" w:w="5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Reopen and run once from scratch.</w:t>
            </w:r>
          </w:p>
        </w:tc>
      </w:tr>
    </w:tbl>
    <w:p>
      <w:pPr>
        <w:spacing w:after="20"/>
      </w:pPr>
    </w:p>
    <w:p>
      <w:pPr>
        <w:pStyle w:val="Heading2"/>
      </w:pPr>
      <w:r>
        <w:t>Minimum technical object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Node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StrategicBet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Decision being evaluated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Scale Zillow Offers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Scenario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Alternative form of the bet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Aggressive / hybrid / capital-light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Assumption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Proposition that must hold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Throughput keeps pace with acquisitions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Evidence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Dated observation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Q2 inventory = $1.17bn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Exposure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Consequence of failure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Inventory and holding-cost exposure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Tripwire</w:t>
            </w:r>
          </w:p>
        </w:tc>
        <w:tc>
          <w:tcPr>
            <w:tcW w:type="dxa" w:w="35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Frozen condition + action</w:t>
            </w:r>
          </w:p>
        </w:tc>
        <w:tc>
          <w:tcPr>
            <w:tcW w:type="dxa" w:w="43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$1bn prototype guardrail → REASSESS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FFF3D9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ASK THE INSTRUCTOR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I need help getting the seed Cypher into Aura, returning a path filtered by public_from, and—only if time permits—grounding an LLM explanation in that returned path.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The exact demo sequence</w:t>
      </w:r>
    </w:p>
    <w:p>
      <w:pPr>
        <w:pStyle w:val="ListNumber"/>
        <w:spacing w:before="0" w:after="80" w:line="252" w:lineRule="auto"/>
        <w:ind w:left="340" w:hanging="170"/>
      </w:pPr>
      <w:r>
        <w:rPr>
          <w:rFonts w:ascii="Liberation Serif" w:hAnsi="Liberation Serif"/>
          <w:color w:val="20252B"/>
          <w:sz w:val="19"/>
        </w:rPr>
        <w:t>Paste 01_seed_graph.cypher and run it. The final sanity check must return project nodes and relationships.</w:t>
      </w:r>
    </w:p>
    <w:p>
      <w:pPr>
        <w:pStyle w:val="ListNumber"/>
        <w:spacing w:before="0" w:after="80" w:line="252" w:lineRule="auto"/>
        <w:ind w:left="340" w:hanging="170"/>
      </w:pPr>
      <w:r>
        <w:rPr>
          <w:rFonts w:ascii="Liberation Serif" w:hAnsi="Liberation Serif"/>
          <w:color w:val="20252B"/>
          <w:sz w:val="19"/>
        </w:rPr>
        <w:t>Run the hero query with cutoff 2021-02-10. Explain that later evidence is physically present in the graph but ineligible to the query.</w:t>
      </w:r>
    </w:p>
    <w:p>
      <w:pPr>
        <w:pStyle w:val="ListNumber"/>
        <w:spacing w:before="0" w:after="80" w:line="252" w:lineRule="auto"/>
        <w:ind w:left="340" w:hanging="170"/>
      </w:pPr>
      <w:r>
        <w:rPr>
          <w:rFonts w:ascii="Liberation Serif" w:hAnsi="Liberation Serif"/>
          <w:color w:val="20252B"/>
          <w:sz w:val="19"/>
        </w:rPr>
        <w:t>Change only the cutoff to 2021-08-05 and rerun. Q2 evidence becomes visible without rebuilding the graph.</w:t>
      </w:r>
    </w:p>
    <w:p>
      <w:pPr>
        <w:pStyle w:val="ListNumber"/>
        <w:spacing w:before="0" w:after="80" w:line="252" w:lineRule="auto"/>
        <w:ind w:left="340" w:hanging="170"/>
      </w:pPr>
      <w:r>
        <w:rPr>
          <w:rFonts w:ascii="Liberation Serif" w:hAnsi="Liberation Serif"/>
          <w:color w:val="20252B"/>
          <w:sz w:val="19"/>
        </w:rPr>
        <w:t>Run the assumption ranking. Point out the difference between negative evidence and insufficient evidence.</w:t>
      </w:r>
    </w:p>
    <w:p>
      <w:pPr>
        <w:pStyle w:val="ListNumber"/>
        <w:spacing w:before="0" w:after="80" w:line="252" w:lineRule="auto"/>
        <w:ind w:left="340" w:hanging="170"/>
      </w:pPr>
      <w:r>
        <w:rPr>
          <w:rFonts w:ascii="Liberation Serif" w:hAnsi="Liberation Serif"/>
          <w:color w:val="20252B"/>
          <w:sz w:val="19"/>
        </w:rPr>
        <w:t>Run the scenario comparison. Explain that principal ownership multiplies exposure to forecasting, throughput and liquidity assumptions.</w:t>
      </w:r>
    </w:p>
    <w:p>
      <w:pPr>
        <w:pStyle w:val="ListNumber"/>
        <w:spacing w:before="0" w:after="80" w:line="252" w:lineRule="auto"/>
        <w:ind w:left="340" w:hanging="170"/>
      </w:pPr>
      <w:r>
        <w:rPr>
          <w:rFonts w:ascii="Liberation Serif" w:hAnsi="Liberation Serif"/>
          <w:color w:val="20252B"/>
          <w:sz w:val="19"/>
        </w:rPr>
        <w:t>Run the multi-hop path and frozen tripwire. End on a concrete action: REASSESS / PAUSE-SCALE.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E8F4EC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HERO INTERACTION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Change one date. Do not change the prompt, ontology or graph. The system recomputes what evidence is eligible and why the decision state changes.</w:t>
            </w:r>
          </w:p>
        </w:tc>
      </w:tr>
    </w:tbl>
    <w:p>
      <w:pPr>
        <w:spacing w:after="20"/>
      </w:pPr>
    </w:p>
    <w:p>
      <w:pPr>
        <w:pStyle w:val="Heading2"/>
      </w:pPr>
      <w:r>
        <w:t>What should visibly change?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10 February 2021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5 August 2021</w:t>
            </w:r>
          </w:p>
        </w:tc>
      </w:tr>
      <w:tr>
        <w:trPr>
          <w:cantSplit/>
        </w:trPr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Management confidence and $3.9bn liquidity are visible.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Q2 operating evidence becomes visible.</w:t>
            </w:r>
          </w:p>
        </w:tc>
      </w:tr>
      <w:tr>
        <w:trPr>
          <w:cantSplit/>
        </w:trPr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Homes segment losses challenge unit economics.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Inventory is $1.169601bn vs $491.293m.</w:t>
            </w:r>
          </w:p>
        </w:tc>
      </w:tr>
      <w:tr>
        <w:trPr>
          <w:cantSplit/>
        </w:trPr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Throughput and forward forecasting remain insufficiently evidenced.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Inventory growth and higher holding costs weaken throughput/liquidity.</w:t>
            </w:r>
          </w:p>
        </w:tc>
      </w:tr>
      <w:tr>
        <w:trPr>
          <w:cantSplit/>
        </w:trPr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Reasonable action: continue only with guardrails.</w:t>
            </w:r>
          </w:p>
        </w:tc>
        <w:tc>
          <w:tcPr>
            <w:tcW w:type="dxa" w:w="4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Prototype action: REASSESS / PAUSE-SCALE.</w:t>
            </w:r>
          </w:p>
        </w:tc>
      </w:tr>
    </w:tbl>
    <w:p>
      <w:pPr>
        <w:spacing w:after="20"/>
      </w:pPr>
    </w:p>
    <w:p>
      <w:pPr>
        <w:pStyle w:val="Heading2"/>
      </w:pPr>
      <w:r>
        <w:t>One path to narrate</w:t>
      </w:r>
    </w:p>
    <w:p>
      <w:pPr>
        <w:spacing w:before="80" w:after="120"/>
        <w:ind w:left="227" w:right="227"/>
      </w:pPr>
      <w:r>
        <w:rPr>
          <w:rFonts w:ascii="Liberation Sans" w:hAnsi="Liberation Sans"/>
          <w:b/>
          <w:color w:val="17283F"/>
          <w:sz w:val="20"/>
        </w:rPr>
        <w:t>Q2 inventory evidence  →  throughput/liquidity assumption  →  inventory and holding-cost exposure  →  aggressive scenario  →  REASSESS</w:t>
      </w:r>
    </w:p>
    <w:p>
      <w:r>
        <w:br w:type="page"/>
      </w:r>
    </w:p>
    <w:p>
      <w:pPr>
        <w:pStyle w:val="Heading1"/>
      </w:pPr>
      <w:r>
        <w:t>4. Your 60-second pitch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EAF1F7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SAY THIS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Companies make high-stakes strategic bets using evidence scattered across filings, reports and management claims. A normal AI answer can summarize those documents, but the answer is difficult to rewind, recompute and audit.</w:t>
              <w:br/>
              <w:br/>
              <w:t>I built a strategy time machine in Neo4j. It represents a strategic bet as assumptions, dated evidence, dependency paths, exposures, alternative scenarios and a pre-committed tripwire.</w:t>
              <w:br/>
              <w:br/>
              <w:t>I use Zillow Offers as a historical replay. First, the graph behaves as if today were 10 February 2021. Then I move the cutoff to 5 August 2021. New Q2 evidence becomes eligible, the assumption state recomputes, and the graph exposes why aggressive principal iBuying becomes less defensible relative to capital-light or hybrid alternatives.</w:t>
              <w:br/>
              <w:br/>
              <w:t>The claim is not that the graph predicted Zillow's failure. The claim is that it produced a traceable, decision-relevant change without importing hindsight.</w:t>
            </w:r>
          </w:p>
        </w:tc>
      </w:tr>
    </w:tbl>
    <w:p>
      <w:pPr>
        <w:spacing w:after="20"/>
      </w:pPr>
    </w:p>
    <w:p>
      <w:pPr>
        <w:pStyle w:val="Heading2"/>
      </w:pPr>
      <w:r>
        <w:t>Three-minute demo beats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Show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Say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0:00–0:30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Problem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Historical strategy analysis leaks hindsight; preserve what was knowable.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0:30–1:00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Graph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Bet → scenarios → assumptions → dated evidence → exposures.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1:00–1:35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T0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Confidence and liquidity exist, but losses and unknown dependencies justify guardrails.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1:35–2:10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Q2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Only the date changes; inventory and holding-cost evidence now weakens the bet.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2:10–2:35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Scenario + tripwire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Aggressive ownership concentrates exposure; prototype guardrail fires.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2:35–3:00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Why graph / next</w:t>
            </w:r>
          </w:p>
        </w:tc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Persistence, recomputation and traceability; next test vs blinded LLM and mixed outcomes.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Scope gates and emergency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8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What it contains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Verdict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GREEN</w:t>
            </w:r>
          </w:p>
        </w:tc>
        <w:tc>
          <w:tcPr>
            <w:tcW w:type="dxa" w:w="58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Graph + two cutoffs + scenario + tripwire + optional LLM explanation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Excellent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YELLOW</w:t>
            </w:r>
          </w:p>
        </w:tc>
        <w:tc>
          <w:tcPr>
            <w:tcW w:type="dxa" w:w="58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Neo4j Browser only: seed + two cutoff queries + one exposure path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Successful hack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/>
                <w:color w:val="20252B"/>
                <w:sz w:val="17"/>
              </w:rPr>
              <w:t>RED</w:t>
            </w:r>
          </w:p>
        </w:tc>
        <w:tc>
          <w:tcPr>
            <w:tcW w:type="dxa" w:w="58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Seeded graph + one working cutoff + honest blocked/learning explanation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Still demoable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FBE7E7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HARD STOP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At 16:00, stop adding features. A stable Neo4j Browser demo is worth more than a broken custom interface.</w:t>
            </w:r>
          </w:p>
        </w:tc>
      </w:tr>
    </w:tbl>
    <w:p>
      <w:pPr>
        <w:spacing w:after="20"/>
      </w:pPr>
    </w:p>
    <w:p>
      <w:pPr>
        <w:pStyle w:val="Heading2"/>
      </w:pPr>
      <w:r>
        <w:t>If something breaks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Immediate move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Seed script errors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Copy the exact error and the failing Cypher block to ChatGPT; do not randomly edit the ontology.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Query returns nothing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Run the final count query, then match the node IDs used by that query.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Graph appears as a table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Switch the Neo4j result visualization to Graph.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Parameter command fails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Replace date($cutoff) with the literal date('2021-02-10').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LLM integration fails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Remove it. Narrate the graph output yourself.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Less than 60 minutes remain</w:t>
            </w:r>
          </w:p>
        </w:tc>
        <w:tc>
          <w:tcPr>
            <w:tcW w:type="dxa" w:w="68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Freeze on YELLOW. Save queries, take screenshots, rehearse.</w:t>
            </w:r>
          </w:p>
        </w:tc>
      </w:tr>
    </w:tbl>
    <w:p>
      <w:pPr>
        <w:spacing w:after="20"/>
      </w:pPr>
    </w:p>
    <w:p>
      <w:pPr>
        <w:pStyle w:val="Heading2"/>
      </w:pPr>
      <w:r>
        <w:t>Do not build tomorrow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All seven historical checkpoints.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A complete automated document-ingestion pipeline.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Five-run/two-model LLM benchmarking.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Production scoring, security, billing, onboarding or monitoring.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A polished dashboard before the graph itself works.</w:t>
      </w:r>
    </w:p>
    <w:p>
      <w:r>
        <w:br w:type="page"/>
      </w:r>
    </w:p>
    <w:p>
      <w:pPr>
        <w:pStyle w:val="Heading1"/>
      </w:pPr>
      <w:r>
        <w:t>6. Evidence integrity — the product starts 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FFF3D9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CORRECTION DISCOVERED WHILE PREPARING THIS KIT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Zillow's 2020 Form 10-K was filed on 12 February 2021. It is forbidden at the 10 February checkpoint. The starter graph uses the 10 February earnings release plus the already-public 2019 10-K at T0.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Public from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T0?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283F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Q2?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19 Feb 2020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2019 10-K: inventory/holding exposure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10 Feb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Q4/FY2020 management confidence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10 Feb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Homes loss: $320.254m FY2020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10 Feb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Cash and investments: $3.9bn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12 Feb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2020 10-K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No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5 Aug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2,086 homes sold; $772m revenue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No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5 Aug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Inventory $1.169601bn vs $491.293m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No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5 Aug 2021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Holding costs $5.3m vs $2.6m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No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Liberation Serif" w:hAnsi="Liberation Serif"/>
                <w:b w:val="0"/>
                <w:color w:val="20252B"/>
                <w:sz w:val="17"/>
              </w:rPr>
              <w:t>Yes</w:t>
            </w:r>
          </w:p>
        </w:tc>
      </w:tr>
    </w:tbl>
    <w:p>
      <w:pPr>
        <w:spacing w:after="20"/>
      </w:pPr>
    </w:p>
    <w:p>
      <w:pPr>
        <w:pStyle w:val="Heading2"/>
      </w:pPr>
      <w:r>
        <w:t>Sources</w:t>
      </w:r>
    </w:p>
    <w:p>
      <w:pPr>
        <w:spacing w:before="0" w:after="40"/>
      </w:pPr>
      <w:hyperlink r:id="rId11">
        <w:r>
          <w:rPr>
            <w:color w:val="3F6F9F"/>
            <w:u w:val="single"/>
          </w:rPr>
          <w:t>SEC 2019 Form 10-K filing detail</w:t>
        </w:r>
      </w:hyperlink>
    </w:p>
    <w:p>
      <w:pPr>
        <w:spacing w:before="0" w:after="40"/>
      </w:pPr>
      <w:hyperlink r:id="rId12">
        <w:r>
          <w:rPr>
            <w:color w:val="3F6F9F"/>
            <w:u w:val="single"/>
          </w:rPr>
          <w:t>SEC Q4/FY2020 earnings release</w:t>
        </w:r>
      </w:hyperlink>
    </w:p>
    <w:p>
      <w:pPr>
        <w:spacing w:before="0" w:after="40"/>
      </w:pPr>
      <w:hyperlink r:id="rId13">
        <w:r>
          <w:rPr>
            <w:color w:val="3F6F9F"/>
            <w:u w:val="single"/>
          </w:rPr>
          <w:t>SEC 2020 Form 10-K</w:t>
        </w:r>
      </w:hyperlink>
    </w:p>
    <w:p>
      <w:pPr>
        <w:spacing w:before="0" w:after="40"/>
      </w:pPr>
      <w:hyperlink r:id="rId14">
        <w:r>
          <w:rPr>
            <w:color w:val="3F6F9F"/>
            <w:u w:val="single"/>
          </w:rPr>
          <w:t>SEC Q2 2021 Form 10-Q</w:t>
        </w:r>
      </w:hyperlink>
    </w:p>
    <w:p>
      <w:pPr>
        <w:spacing w:before="0" w:after="40"/>
      </w:pPr>
      <w:hyperlink r:id="rId15">
        <w:r>
          <w:rPr>
            <w:color w:val="3F6F9F"/>
            <w:u w:val="single"/>
          </w:rPr>
          <w:t>Global AI Construct Berlin event</w:t>
        </w:r>
      </w:hyperlink>
    </w:p>
    <w:p>
      <w:pPr>
        <w:pStyle w:val="Heading2"/>
      </w:pPr>
      <w:r>
        <w:t>Prepared files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README_FIRST.md — operating plan and scope gates.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01_seed_graph.cypher — copy-paste Neo4j graph.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02_demo_queries.cypher — exact demonstration order.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03_demo_script.md — pitch, demo narration and judge answers.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04_evidence_manifest.csv — point-in-time source register.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05_optional_blinded_llm_prompt.md — only after the core demo works.</w:t>
      </w:r>
    </w:p>
    <w:p>
      <w:pPr>
        <w:pStyle w:val="ListBullet"/>
        <w:spacing w:before="0" w:after="40" w:line="252" w:lineRule="auto"/>
        <w:ind w:left="312" w:hanging="142"/>
      </w:pPr>
      <w:r>
        <w:rPr>
          <w:rFonts w:ascii="Liberation Serif" w:hAnsi="Liberation Serif"/>
          <w:color w:val="20252B"/>
          <w:sz w:val="19"/>
        </w:rPr>
        <w:t>06_optional_coding_agent_prompt.md — only if you add a tiny interface.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07"/>
            <w:tcMar>
              <w:top w:w="130" w:type="dxa"/>
              <w:start w:w="170" w:type="dxa"/>
              <w:bottom w:w="130" w:type="dxa"/>
              <w:end w:w="170" w:type="dxa"/>
            </w:tcMar>
            <w:shd w:fill="E8F4EC"/>
          </w:tcPr>
          <w:p>
            <w:pPr>
              <w:spacing w:before="0" w:after="60"/>
            </w:pPr>
            <w:r>
              <w:rPr>
                <w:rFonts w:ascii="Liberation Sans" w:hAnsi="Liberation Sans"/>
                <w:b/>
                <w:color w:val="3F6F9F"/>
                <w:sz w:val="18"/>
              </w:rPr>
              <w:t>FINAL OPERATING RULE</w:t>
            </w:r>
          </w:p>
          <w:p>
            <w:pPr>
              <w:spacing w:before="0" w:after="0" w:line="259" w:lineRule="auto"/>
            </w:pPr>
            <w:r>
              <w:rPr>
                <w:rFonts w:ascii="Liberation Serif" w:hAnsi="Liberation Serif"/>
                <w:color w:val="20252B"/>
                <w:sz w:val="20"/>
              </w:rPr>
              <w:t>You do not need to hold the whole product in your head. At each moment, build the smallest next thing that makes the final demo more real.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left"/>
      </w:tabs>
      <w:jc w:val="right"/>
    </w:pPr>
    <w:r>
      <w:rPr>
        <w:rFonts w:ascii="Liberation Serif" w:hAnsi="Liberation Serif"/>
        <w:color w:val="647080"/>
        <w:sz w:val="17"/>
      </w:rPr>
      <w:t>Global AI Construct Berlin  •  25 August 2026</w:t>
    </w:r>
    <w:r>
      <w:tab/>
    </w:r>
    <w:r>
      <w:rPr>
        <w:rFonts w:ascii="Liberation Serif" w:hAnsi="Liberation Serif"/>
        <w:color w:val="6470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47080"/>
        <w:sz w:val="16"/>
      </w:rPr>
      <w:t>ZILLOW STRATEGY TIME MACHINE  •  HACKATHON SURVIVAL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/>
      <w:color w:val="20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8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F6F9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28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rchives/edgar/data/1617640/000161764020000015/0001617640-20-000015-index.htm" TargetMode="External"/><Relationship Id="rId12" Type="http://schemas.openxmlformats.org/officeDocument/2006/relationships/hyperlink" Target="https://www.sec.gov/Archives/edgar/data/1617640/000161764021000007/q42020991.htm" TargetMode="External"/><Relationship Id="rId13" Type="http://schemas.openxmlformats.org/officeDocument/2006/relationships/hyperlink" Target="https://www.sec.gov/Archives/edgar/data/1617640/000161764021000012/z-20201231.htm" TargetMode="External"/><Relationship Id="rId14" Type="http://schemas.openxmlformats.org/officeDocument/2006/relationships/hyperlink" Target="https://www.sec.gov/Archives/edgar/data/1617640/000161764021000055/z-20210630.htm" TargetMode="External"/><Relationship Id="rId15" Type="http://schemas.openxmlformats.org/officeDocument/2006/relationships/hyperlink" Target="https://globalai.community/e/0pqyb95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