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2186" w14:textId="70065AFC" w:rsidR="00834F2D" w:rsidRDefault="00051054" w:rsidP="00051054">
      <w:pPr>
        <w:pStyle w:val="Titre1"/>
      </w:pPr>
      <w:r>
        <w:t>IA02 – Rapport</w:t>
      </w:r>
    </w:p>
    <w:p w14:paraId="764642A0" w14:textId="5529E816" w:rsidR="00051054" w:rsidRDefault="00051054" w:rsidP="00051054">
      <w:pPr>
        <w:pStyle w:val="Titre2"/>
      </w:pPr>
      <w:r>
        <w:t>Partie 1 – CIFAR10</w:t>
      </w:r>
    </w:p>
    <w:p w14:paraId="3A4486BC" w14:textId="69E7C5E5" w:rsidR="00051054" w:rsidRDefault="00051054" w:rsidP="00051054">
      <w:pPr>
        <w:pStyle w:val="Titre3"/>
      </w:pPr>
      <w:r>
        <w:t xml:space="preserve">Analyse exploratoire des données </w:t>
      </w:r>
    </w:p>
    <w:p w14:paraId="7E0E348F" w14:textId="77777777" w:rsidR="00051054" w:rsidRPr="00051054" w:rsidRDefault="00051054" w:rsidP="00051054">
      <w:r w:rsidRPr="00051054">
        <w:rPr>
          <w:b/>
          <w:bCs/>
        </w:rPr>
        <w:t>Distribution des classes</w:t>
      </w:r>
    </w:p>
    <w:p w14:paraId="0203450B" w14:textId="77777777" w:rsidR="00051054" w:rsidRPr="00051054" w:rsidRDefault="00051054" w:rsidP="00051054">
      <w:r w:rsidRPr="00051054">
        <w:t xml:space="preserve">Le </w:t>
      </w:r>
      <w:proofErr w:type="spellStart"/>
      <w:r w:rsidRPr="00051054">
        <w:t>dataset</w:t>
      </w:r>
      <w:proofErr w:type="spellEnd"/>
      <w:r w:rsidRPr="00051054">
        <w:t xml:space="preserve"> CIFAR-10 est parfaitement équilibré : chaque classe contient exactement 5 000 images dans le jeu d'entraînement (50 000 images au total), ce qui rend l'</w:t>
      </w:r>
      <w:proofErr w:type="spellStart"/>
      <w:r w:rsidRPr="00051054">
        <w:t>accuracy</w:t>
      </w:r>
      <w:proofErr w:type="spellEnd"/>
      <w:r w:rsidRPr="00051054">
        <w:t xml:space="preserve"> directement utilisable comme métrique d'évaluation sans correction de biais.</w:t>
      </w:r>
    </w:p>
    <w:p w14:paraId="527C6A79" w14:textId="77777777" w:rsidR="00051054" w:rsidRPr="00051054" w:rsidRDefault="00051054" w:rsidP="00051054">
      <w:r w:rsidRPr="00051054">
        <w:rPr>
          <w:b/>
          <w:bCs/>
        </w:rPr>
        <w:t>Visualisation des images brutes</w:t>
      </w:r>
    </w:p>
    <w:p w14:paraId="0A0D75A3" w14:textId="77777777" w:rsidR="00051054" w:rsidRPr="00051054" w:rsidRDefault="00051054" w:rsidP="00051054">
      <w:r w:rsidRPr="00051054">
        <w:t xml:space="preserve">L'affichage des premières images révèle plusieurs défis inhérents au </w:t>
      </w:r>
      <w:proofErr w:type="spellStart"/>
      <w:r w:rsidRPr="00051054">
        <w:t>dataset</w:t>
      </w:r>
      <w:proofErr w:type="spellEnd"/>
      <w:r w:rsidRPr="00051054">
        <w:t xml:space="preserve"> : les images sont très basses résolution (32×32 pixels), ce qui les rend parfois ambiguës même à l'œil humain. On observe une forte variabilité </w:t>
      </w:r>
      <w:proofErr w:type="spellStart"/>
      <w:r w:rsidRPr="00051054">
        <w:t>intra-classe</w:t>
      </w:r>
      <w:proofErr w:type="spellEnd"/>
      <w:r w:rsidRPr="00051054">
        <w:t xml:space="preserve"> (même objet sous des angles, éclairages et fonds différents) et une proximité visuelle entre certaines classes comme Chat/Chien ou Automobile/Camion.</w:t>
      </w:r>
    </w:p>
    <w:p w14:paraId="416691E2" w14:textId="77777777" w:rsidR="00051054" w:rsidRPr="00051054" w:rsidRDefault="00051054" w:rsidP="00051054">
      <w:r w:rsidRPr="00051054">
        <w:rPr>
          <w:b/>
          <w:bCs/>
        </w:rPr>
        <w:t>Statistiques des canaux RGB</w:t>
      </w:r>
    </w:p>
    <w:p w14:paraId="16F75043" w14:textId="77777777" w:rsidR="00051054" w:rsidRPr="00051054" w:rsidRDefault="00051054" w:rsidP="00051054">
      <w:r w:rsidRPr="00051054">
        <w:t xml:space="preserve">Les moyennes et écarts-types sont calculés canal par canal sur le jeu d'entraînement normalisé. Ces valeurs servent de base pour deux stratégies de normalisation distinctes selon le modèle : une normalisation propre à CIFAR-10 pour les architectures entraînées </w:t>
      </w:r>
      <w:proofErr w:type="spellStart"/>
      <w:r w:rsidRPr="00051054">
        <w:t>from</w:t>
      </w:r>
      <w:proofErr w:type="spellEnd"/>
      <w:r w:rsidRPr="00051054">
        <w:t xml:space="preserve"> scratch (ResNet-20, CNN classique), et la normalisation </w:t>
      </w:r>
      <w:proofErr w:type="spellStart"/>
      <w:r w:rsidRPr="00051054">
        <w:t>ImageNet</w:t>
      </w:r>
      <w:proofErr w:type="spellEnd"/>
      <w:r w:rsidRPr="00051054">
        <w:t xml:space="preserve"> standard [0.485, 0.456, 0.406] / [0.229, 0.224, 0.225] pour les modèles pré-entraînés (EfficientNet-B4).</w:t>
      </w:r>
    </w:p>
    <w:p w14:paraId="28CEE6EB" w14:textId="77777777" w:rsidR="00051054" w:rsidRPr="00051054" w:rsidRDefault="00051054" w:rsidP="00051054">
      <w:r w:rsidRPr="00051054">
        <w:rPr>
          <w:b/>
          <w:bCs/>
        </w:rPr>
        <w:t>Prétraitements identifiés</w:t>
      </w:r>
    </w:p>
    <w:p w14:paraId="247D9147" w14:textId="06926EDE" w:rsidR="00051054" w:rsidRPr="00051054" w:rsidRDefault="00051054" w:rsidP="00051054">
      <w:r w:rsidRPr="00051054">
        <w:t>L'EDA conduit à des pipelines de préparation différenciés selon l'approche : les méthodes classiques (</w:t>
      </w:r>
      <w:proofErr w:type="spellStart"/>
      <w:r w:rsidRPr="00051054">
        <w:t>XGBoost</w:t>
      </w:r>
      <w:proofErr w:type="spellEnd"/>
      <w:r w:rsidRPr="00051054">
        <w:t xml:space="preserve">, Random Forest) requièrent un aplatissement des images en vecteur de 3 072 dimensions, tandis que les modèles </w:t>
      </w:r>
      <w:proofErr w:type="spellStart"/>
      <w:r w:rsidRPr="00051054">
        <w:t>deep</w:t>
      </w:r>
      <w:proofErr w:type="spellEnd"/>
      <w:r w:rsidRPr="00051054">
        <w:t xml:space="preserve"> </w:t>
      </w:r>
      <w:proofErr w:type="spellStart"/>
      <w:r w:rsidRPr="00051054">
        <w:t>learning</w:t>
      </w:r>
      <w:proofErr w:type="spellEnd"/>
      <w:r w:rsidRPr="00051054">
        <w:t xml:space="preserve"> conservent la structure spatiale 2D. EfficientNet-B4 nécessite en plus un redimensionnement de 32×32 vers 224×224, ce qui introduit une interpolation sur des images déjà très basse résolution</w:t>
      </w:r>
      <w:r>
        <w:t>.</w:t>
      </w:r>
    </w:p>
    <w:p w14:paraId="3AD20702" w14:textId="77777777" w:rsidR="00051054" w:rsidRPr="00051054" w:rsidRDefault="00051054" w:rsidP="00051054"/>
    <w:sectPr w:rsidR="00051054" w:rsidRPr="00051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54"/>
    <w:rsid w:val="00051054"/>
    <w:rsid w:val="002F75F9"/>
    <w:rsid w:val="004F28BB"/>
    <w:rsid w:val="0083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A778F"/>
  <w15:chartTrackingRefBased/>
  <w15:docId w15:val="{13FBE503-25E5-495D-8BC3-6CCA92A9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5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5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5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10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10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10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10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10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10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10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10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10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10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1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Paul-Louis LEDOUX</dc:creator>
  <cp:keywords/>
  <dc:description/>
  <cp:lastModifiedBy>Paul-Louis LEDOUX</cp:lastModifiedBy>
  <cp:revision>1</cp:revision>
  <dcterms:created xsi:type="dcterms:W3CDTF">2026-06-06T10:39:00Z</dcterms:created>
  <dcterms:modified xsi:type="dcterms:W3CDTF">2026-06-06T10:47:00Z</dcterms:modified>
</cp:coreProperties>
</file>