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Socially-Weighted Distributed Graph Optimization (D²RO) for Autonomous Multi-Agent Service Fleets in Crowded Environments</w:t>
        <w:br/>
      </w:r>
    </w:p>
    <w:p>
      <w:pPr>
        <w:jc w:val="center"/>
      </w:pPr>
      <w:r>
        <w:rPr>
          <w:i/>
          <w:sz w:val="22"/>
        </w:rPr>
        <w:t>Polla Fattah, et al.</w:t>
        <w:br/>
        <w:t>Department of Computer Science &amp; Robotics</w:t>
        <w:br/>
      </w:r>
    </w:p>
    <w:p>
      <w:pPr>
        <w:pStyle w:val="Heading1"/>
      </w:pPr>
      <w:r>
        <w:t>Abstract</w:t>
      </w:r>
    </w:p>
    <w:p>
      <w:r>
        <w:rPr>
          <w:sz w:val="21"/>
        </w:rPr>
        <w:t>The continuous routing of autonomous service fleets—such as retail shopping trolleys (Int-Cart), hospital pushchairs, and airport luggage carts—in crowded, human-shared environments poses fundamental multi-agent challenges. Traditional Multi-Agent Path Finding (MAPF) and reactive collision avoidance methods (e.g., ORCA, Artificial Potential Fields) suffer from local potential minima traps in orthogonal 90-degree shelf fixtures (0.0% success rate), velocity obstacle constraint infeasibility in narrow single-file corridors (ORCA: 0.0% success), live-lock timeouts in narrow corridors (Decentralized Local MAPF: 0.0% success, 35.0s timeout), and social discomfort violations (Static A*: 4.00 ± 0.00 violations). This paper proposes the Distributed Dynamic Route Optimization (D²RO) framework powered by Socially-Weighted Distributed Graph Optimization (SW-DGO). D²RO formalizes a dimensionally weighted 5-component edge traversal cost function C(u, v, t) = w_D D(u, v) + w_M W_mesh(u, v, t) + w_H H_prox(v, t) + w_R R_lock(u, v, t) + w_S S_trolley(v, t), unifying incremental heuristic search (D* Lite), event-driven Vehicle-to-Vehicle (V2V) ad-hoc mesh telemetry with exponential decay, continuous 2D asymmetric Gaussian human proxemics, spatiotemporal directional corridor mutex locks, and non-holonomic kinetic vehicle safety clearance envelopes (S_trolley). Evaluated across N = 100 randomized Monte Carlo kinodynamic simulation trials in retail supermarket, clinical hospital (featuring Turnout Alcoves), and airport terminal concourses, D²RO achieves a 100.0% mission success rate with 0.00 ± 0.00 corridor deadlocks and 0.00 ± 0.00 intimate proxemic violations (p &lt; 0.001), while executing incremental vertex repairs in under 0.15 ms on modern host processors (extrapolating to real-time embedded execution).</w:t>
      </w:r>
    </w:p>
    <w:p>
      <w:r>
        <w:rPr>
          <w:b/>
          <w:sz w:val="20"/>
        </w:rPr>
        <w:t xml:space="preserve">Keywords: </w:t>
      </w:r>
      <w:r>
        <w:rPr>
          <w:i/>
          <w:sz w:val="20"/>
        </w:rPr>
        <w:t>Multi-Agent Path Finding (MAPF), Socially-Aware Navigation, Distributed Graph Optimization, Vehicle-to-Vehicle (V2V) Mesh, Human Proxemics, D* Lite, Non-Holonomic Kinematics, Autonomous Mobile Robots (AMRs).</w:t>
      </w:r>
    </w:p>
    <w:p>
      <w:pPr>
        <w:pStyle w:val="Heading1"/>
      </w:pPr>
      <w:r>
        <w:t>1. Introduction</w:t>
      </w:r>
    </w:p>
    <w:p>
      <w:r>
        <w:t>The rapid advancement of autonomous mobile robots (AMRs), ubiquitous sensor networks, and edge computing has catalyzed a paradigm shift in service robotics. While early automated guided vehicles (AGVs) operated primarily within segregated industrial warehouses—isolated from humans behind physical safety barriers and governed by rigid guide-paths—the next generation of autonomous service fleets must operate directly within human-shared, highly dynamic, and unstructured public environments.</w:t>
      </w:r>
    </w:p>
    <w:p>
      <w:pPr>
        <w:pStyle w:val="Heading2"/>
      </w:pPr>
      <w:r>
        <w:t>1.1 Core Motivations &amp; Technical Bottlenecks</w:t>
      </w:r>
    </w:p>
    <w:p>
      <w:r>
        <w:t>When deployed in complex, fixture-dense public service environments, traditional Multi-Agent Path Finding (MAPF) and reactive obstacle avoidance algorithms suffer from four fundamental technical bottlenecks:</w:t>
        <w:br/>
        <w:br/>
        <w:t>1. Geometry-Kinematic Disconnect in Concave Fixtures (The ORCA Trap): Classical reactive collision avoidance methods (ORCA, potential fields) rely on local velocity-space half-planes. In layouts filled with orthogonal 90-degree shelf corners, repulsive forces from walls and pedestrians cancel out goal attraction (F_net = 0), trapping carts permanently in local potential minima (0.0% success rate).</w:t>
        <w:br/>
        <w:br/>
        <w:t>2. Social Blindness of Static Shortest-Path Solvers (The A* Flaw): Traditional static graph planners (Static A*) optimize purely for shortest Euclidean distance D(u, v). They cannot sense or adapt to dynamic human crowds, relentlessly cutting through intimate personal space (&lt; 0.8m) and forcing pedestrians to step aside.</w:t>
        <w:br/>
        <w:br/>
        <w:t>3. Symmetrical Live-Locks in Single-File Corridors: In narrow passages where corridor width is less than two vehicle safety radii, opposing agents meeting head-on oscillate in place, producing permanent live-locks without dynamic priority arbitration.</w:t>
        <w:br/>
        <w:br/>
        <w:t>4. Information Isolation &amp; Delayed Backtracking: Without peer communication, trailing robots travel all the way to a blocked corridor before discovering the obstruction locally, forcing complete reversals and causing severe inflation in fleet makespan.</w:t>
      </w:r>
    </w:p>
    <w:p>
      <w:pPr>
        <w:pStyle w:val="Heading2"/>
      </w:pPr>
      <w:r>
        <w:t>1.2 Multi-Domain Target Application Fields</w:t>
      </w:r>
    </w:p>
    <w:p>
      <w:r>
        <w:t>The proposed framework is purposefully designed for multi-agent service fleet coordination across four key human-shared application domains:</w:t>
        <w:br/>
        <w:br/>
        <w:t>1. Smart Retail Commerce: Autonomous shopping trolleys (Int-Cart) escorting shoppers, fulfilling online grocery orders, and returning to front-of-store cart depots amidst narrow grocery aisles and high-traffic Action Alley promenades.</w:t>
        <w:br/>
        <w:br/>
        <w:t>2. Clinical Healthcare Facilities: Autonomous pushchairs and mobile hospital beds transporting patients between Emergency Trauma Triage (ER), Sterile Operating Theatres (OR), MRI suites, and Inpatient Wards, utilizing Turnout Alcoves (V_alcove) for emergency right-of-way.</w:t>
        <w:br/>
        <w:br/>
        <w:t>3. Aviation &amp; Transportation Terminals: Autonomous luggage trolleys navigating open-plan departure concourses, security screening chokepoints, and long boarding gate piers (Gates A1-A4, B1-B4) amidst dense roving crowds.</w:t>
        <w:br/>
        <w:br/>
        <w:t>4. Public Facilities &amp; Micro-Fulfillment: Material handling AGVs operating in narrow book stacks and urban distribution centers.</w:t>
      </w:r>
    </w:p>
    <w:p>
      <w:pPr>
        <w:pStyle w:val="Heading2"/>
      </w:pPr>
      <w:r>
        <w:t>1.3 The Proposed Solution &amp; Core Contributions</w:t>
      </w:r>
    </w:p>
    <w:p>
      <w:r>
        <w:t>To overcome these bottlenecks, this paper proposes the Distributed Dynamic Route Optimization (D²RO) framework powered by Socially-Weighted Distributed Graph Optimization (SW-DGO). Rather than treating routing as isolated reactive avoidance or purely local search, D²RO establishes a distributed, time-varying graph-cost field C_i(e, t) shared across peer agents:</w:t>
        <w:br/>
        <w:br/>
        <w:t>C_i(e, t) = w_D * C_geom(e) + w_M * C_mesh(e, t) + w_H * C_social(e, t) + w_R * C_mutex(e, t) + w_S * C_kinematic(i, e, t)</w:t>
        <w:br/>
        <w:br/>
        <w:t>The primary scientific contributions of this research are:</w:t>
        <w:br/>
        <w:br/>
        <w:t>1. Distributed Anticipatory Edge-Cost Propagation &amp; Horizon Extension: We formalize a distributed graph-cost field wherein localized perturbations observed by leading agents are transformed into peer-to-peer, time-decayed edge penalties C_mesh(e, t). This mathematically extends each robot's effective planning horizon (O_i^effective) far beyond its onboard line-of-sight sensing radius, enabling proactive global rerouting before encountering bottlenecks and eliminating +48.3% in deadheading makespan inflation.</w:t>
        <w:br/>
        <w:br/>
        <w:t>2. Distributed Directional Bottleneck Reservation Protocol: We formalize an explicit distributed protocol for single-file topological bottlenecks (W_corridor &lt; 2 * r_safety) via directional reservation tuples L_e = &lt;owner, dir, t_acquire, t_expire, priority&gt; and Turnout Alcoves (V_alcove), guaranteeing single-direction exclusivity and empirical deadlock elimination (N_deadlock = 0.00 ± 0.00) under bounded latency.</w:t>
        <w:br/>
        <w:br/>
        <w:t>3. Kinodynamically &amp; Socially Conditioned Incremental Optimization: We unify asymmetric human proxemic discomfort fields (C_social) and vehicle-specific clearance envelopes (C_kinematic) directly into an incremental D* Lite graph repair engine, executing sub-millisecond updates (0.045 to 0.145 ms) without global re-heapification and completely eliminating the 0.0% failure mode of classical reactive avoidance (ORCA/APF) in concave 90-degree shelf fixtures.</w:t>
        <w:br/>
        <w:br/>
        <w:t>4. Multi-Domain Empirical Benchmark Suite: We validate the framework across three distinct architectural topologies (Retail Supermarket, Clinical Hospital, and Airport Terminal) over N = 100 randomized Monte Carlo simulation trials per condition (2,500 total runs), providing 10 publication-ready 300 DPI figures and 5 open-access CSV datasets under the MIT license.</w:t>
      </w:r>
    </w:p>
    <w:p>
      <w:pPr>
        <w:pStyle w:val="Heading1"/>
      </w:pPr>
      <w:r>
        <w:t>2. Literature Review</w:t>
      </w:r>
    </w:p>
    <w:p>
      <w:r>
        <w:t>The proposed D²RO framework builds upon foundational work across Multi-Agent Path Finding (MAPF), dynamic graph replanning, local collision avoidance, ad-hoc mesh communication, physical trolley mechatronics, and human-aware navigation.</w:t>
      </w:r>
    </w:p>
    <w:p>
      <w:pPr>
        <w:pStyle w:val="Heading2"/>
      </w:pPr>
      <w:r>
        <w:t>2.1 Decentralized and Lifelong Multi-Agent Path Finding (MAPF)</w:t>
      </w:r>
    </w:p>
    <w:p>
      <w:r>
        <w:t>Stern et al. (2019) define the classical MAPF problem and its variants, establishing the fundamental vertex and edge conflict models. Ma et al. (2017) introduced Lifelong MAPF for Online Pickup and Delivery (MAPD). Recent work has emphasized decentralized solvers (Dergachev &amp; Yakovlev, 2024; Keskin et al., 2024) and learning-based approaches (Sartoretti et al., 2019; Skrynnik et al., 2024). However, learning-based policies frequently struggle with out-of-distribution dynamic closures, highlighting the need for search-based adaptability.</w:t>
      </w:r>
    </w:p>
    <w:p>
      <w:pPr>
        <w:pStyle w:val="Heading2"/>
      </w:pPr>
      <w:r>
        <w:t>2.2 Dynamic Replanning in Unknown and Stochastic Environments</w:t>
      </w:r>
    </w:p>
    <w:p>
      <w:r>
        <w:t>Koenig and Likhachev (2002) established D* Lite, an incremental heuristic search algorithm that recalculates only the segments of a path affected by dynamic edge-cost changes. Al-Mutib et al. (2012) applied D* Lite to multi-agent systems, while Wagner and Choset (2011) developed M*. D²RO adapts these incremental principles, allowing trolleys to dynamically inflate traversal costs based on real-time V2V telemetry.</w:t>
      </w:r>
    </w:p>
    <w:p>
      <w:pPr>
        <w:pStyle w:val="Heading2"/>
      </w:pPr>
      <w:r>
        <w:t>2.3 Kinematic Coordination and Local Collision Avoidance</w:t>
      </w:r>
    </w:p>
    <w:p>
      <w:r>
        <w:t>Van den Berg et al. (2008) introduced Optimal Reciprocal Collision Avoidance (ORCA). However, standard ORCA suffers from live-locks in narrow, symmetric environments. Dergachev and Yakovlev (2021) addressed this by falling back on local MAPF instances during deadlocks. D²RO synthesizes continuous reactive avoidance with spatiotemporal edge reservations for single-file corridors.</w:t>
      </w:r>
    </w:p>
    <w:p>
      <w:pPr>
        <w:pStyle w:val="Heading2"/>
      </w:pPr>
      <w:r>
        <w:t>2.4 Multi-Robot Ad-Hoc Communication Protocols</w:t>
      </w:r>
    </w:p>
    <w:p>
      <w:r>
        <w:t>Gielis et al. (2022) emphasized the need for co-designing robotic planning algorithms alongside network constraints. Slyusar and Kulich (2016) and Edwige (2024) demonstrated distributed data sharing over Mobile Ad-Hoc Networks (MANETs). In D²RO, this translates to an event-driven telemetry protocol where agents broadcast localized edge penalties across a V2V mesh.</w:t>
      </w:r>
    </w:p>
    <w:p>
      <w:pPr>
        <w:pStyle w:val="Heading2"/>
      </w:pPr>
      <w:r>
        <w:t>2.5 Indoor Positioning and Physical Mechatronics</w:t>
      </w:r>
    </w:p>
    <w:p>
      <w:r>
        <w:t>Zafari et al. (2019), Clark et al. (2021), and Nugraha et al. (2024) proved that fusing Ultra-Wideband (UWB), IMU gyros, and wheel odometry via Extended Kalman Filters drastically reduces navigation drift. Bringing these concepts to retail robotics, Mohamad Azlan et al. (2024) developed the Int-Cart, validating the sensory and mechanical feasibility of autonomous trolley fleets.</w:t>
      </w:r>
    </w:p>
    <w:p>
      <w:pPr>
        <w:pStyle w:val="Heading2"/>
      </w:pPr>
      <w:r>
        <w:t>2.6 Human-Aware Navigation &amp; Research Gap</w:t>
      </w:r>
    </w:p>
    <w:p>
      <w:r>
        <w:t>Kruse et al. (2013) and Chen et al. (2020) emphasized that robots must respect personal space boundaries (proxemics). The Research Gap: There remains a distinct lack of hybrid frameworks that fuse proactive, mesh-informed global graph updates with reactive human-aware collision avoidance in fixture-dense environments. D²RO bridges this gap.</w:t>
      </w:r>
    </w:p>
    <w:p>
      <w:pPr>
        <w:pStyle w:val="Heading1"/>
      </w:pPr>
      <w:r>
        <w:t>3. Mathematical Formulation &amp; System Architecture</w:t>
      </w:r>
    </w:p>
    <w:p>
      <w:r>
        <w:t>The complete Distributed Dynamic Edge-Cost Field is formalized as:</w:t>
        <w:br/>
        <w:br/>
        <w:t>C_i(u, v, t) = w_D * C_geom(u, v) + w_M * C_mesh(u, v, t) + w_H * C_social(v, t) + w_R * C_mutex(u, v, t) + w_S * C_kinematic(i, v, t)</w:t>
        <w:br/>
        <w:br/>
        <w:t>where calibrated dimensionless weights w = [1.0, 1.5, 2.0, 1.0, 1.2] balance metric progress, collaborative V2V routing, human comfort, corridor mutual exclusion, and vehicle safety envelopes.</w:t>
        <w:br/>
        <w:br/>
        <w:t>Key Formulation Elements:</w:t>
        <w:br/>
        <w:t>1. Intrinsic Metric Geometry C_geom(u, v): Baseline Euclidean distance and angular steering penalty.</w:t>
        <w:br/>
        <w:t>2. Effective Perception Horizon Extension C_mesh(u, v, t): Extends local obstacle horizon O_i^effective(t) = O_i^local(t) U (U_j O_j(t - tau_ij)) via decaying V2V telemetry C_mesh(t) = sum gamma_k * exp(-lambda * (t - t_k)).</w:t>
        <w:br/>
        <w:t>3. Continuous 2D Asymmetric Gaussian Proxemics C_social(v, t): Direction-dependent front (1.35m), rear (0.60m), and lateral (0.90m) discomfort fields.</w:t>
        <w:br/>
        <w:t>4. Distributed Directional Bottleneck Reservation L_e(t): Directional reservation tuple &lt;AgentID, dir, t_acquire, t_expire, priority&gt; setting reverse cost to infinity.</w:t>
        <w:br/>
        <w:t>5. Kinetic Chassis Safety Envelope C_kinematic(i, v, t): Enforcing 0.54m shelf clearance and 1.08m dynamic following gaps.</w:t>
      </w:r>
    </w:p>
    <w:p>
      <w:pPr>
        <w:pStyle w:val="Heading1"/>
      </w:pPr>
      <w:r>
        <w:t>4. Multi-Domain Topologies &amp; Simulation Architectures</w:t>
      </w:r>
    </w:p>
    <w:p>
      <w:r>
        <w:t>The framework is validated across three divergent real-world architectural environments:</w:t>
      </w:r>
    </w:p>
    <w:p>
      <w:pPr>
        <w:jc w:val="center"/>
      </w:pPr>
    </w:p>
    <w:p>
      <w:r>
        <w:drawing>
          <wp:inline xmlns:a="http://schemas.openxmlformats.org/drawingml/2006/main" xmlns:pic="http://schemas.openxmlformats.org/drawingml/2006/picture">
            <wp:extent cx="5303520" cy="3349592"/>
            <wp:docPr id="1" name="Picture 1"/>
            <wp:cNvGraphicFramePr>
              <a:graphicFrameLocks noChangeAspect="1"/>
            </wp:cNvGraphicFramePr>
            <a:graphic>
              <a:graphicData uri="http://schemas.openxmlformats.org/drawingml/2006/picture">
                <pic:pic>
                  <pic:nvPicPr>
                    <pic:cNvPr id="0" name="fig5_supermarket_topology_trajectories.png"/>
                    <pic:cNvPicPr/>
                  </pic:nvPicPr>
                  <pic:blipFill>
                    <a:blip r:embed="rId9"/>
                    <a:stretch>
                      <a:fillRect/>
                    </a:stretch>
                  </pic:blipFill>
                  <pic:spPr>
                    <a:xfrm>
                      <a:off x="0" y="0"/>
                      <a:ext cx="5303520" cy="3349592"/>
                    </a:xfrm>
                    <a:prstGeom prst="rect"/>
                  </pic:spPr>
                </pic:pic>
              </a:graphicData>
            </a:graphic>
          </wp:inline>
        </w:drawing>
      </w:r>
    </w:p>
    <w:p>
      <w:pPr>
        <w:jc w:val="center"/>
      </w:pPr>
      <w:r>
        <w:rPr>
          <w:i/>
          <w:sz w:val="19"/>
        </w:rPr>
        <w:t>Figure 5: Supermarket environment floorplan with SW-DGO planned trajectories, aisle shelves, Action Alley promenade, human Gaussian halos, and Cart Depots.</w:t>
      </w:r>
    </w:p>
    <w:p>
      <w:pPr>
        <w:jc w:val="center"/>
      </w:pPr>
    </w:p>
    <w:p>
      <w:r>
        <w:drawing>
          <wp:inline xmlns:a="http://schemas.openxmlformats.org/drawingml/2006/main" xmlns:pic="http://schemas.openxmlformats.org/drawingml/2006/picture">
            <wp:extent cx="5303520" cy="3349592"/>
            <wp:docPr id="2" name="Picture 2"/>
            <wp:cNvGraphicFramePr>
              <a:graphicFrameLocks noChangeAspect="1"/>
            </wp:cNvGraphicFramePr>
            <a:graphic>
              <a:graphicData uri="http://schemas.openxmlformats.org/drawingml/2006/picture">
                <pic:pic>
                  <pic:nvPicPr>
                    <pic:cNvPr id="0" name="fig6_hospital_topology_trajectories.png"/>
                    <pic:cNvPicPr/>
                  </pic:nvPicPr>
                  <pic:blipFill>
                    <a:blip r:embed="rId10"/>
                    <a:stretch>
                      <a:fillRect/>
                    </a:stretch>
                  </pic:blipFill>
                  <pic:spPr>
                    <a:xfrm>
                      <a:off x="0" y="0"/>
                      <a:ext cx="5303520" cy="3349592"/>
                    </a:xfrm>
                    <a:prstGeom prst="rect"/>
                  </pic:spPr>
                </pic:pic>
              </a:graphicData>
            </a:graphic>
          </wp:inline>
        </w:drawing>
      </w:r>
    </w:p>
    <w:p>
      <w:pPr>
        <w:jc w:val="center"/>
      </w:pPr>
      <w:r>
        <w:rPr>
          <w:i/>
          <w:sz w:val="19"/>
        </w:rPr>
        <w:t>Figure 6: Hospital autonomous pushchair floorplan featuring Emergency Trauma (ER), Sterile OR/MRI, Clinical Wards, and Turnout Alcoves for dynamic yielding.</w:t>
      </w:r>
    </w:p>
    <w:p>
      <w:pPr>
        <w:jc w:val="center"/>
      </w:pPr>
    </w:p>
    <w:p>
      <w:r>
        <w:drawing>
          <wp:inline xmlns:a="http://schemas.openxmlformats.org/drawingml/2006/main" xmlns:pic="http://schemas.openxmlformats.org/drawingml/2006/picture">
            <wp:extent cx="5303520" cy="3349592"/>
            <wp:docPr id="3" name="Picture 3"/>
            <wp:cNvGraphicFramePr>
              <a:graphicFrameLocks noChangeAspect="1"/>
            </wp:cNvGraphicFramePr>
            <a:graphic>
              <a:graphicData uri="http://schemas.openxmlformats.org/drawingml/2006/picture">
                <pic:pic>
                  <pic:nvPicPr>
                    <pic:cNvPr id="0" name="fig7_airport_topology_trajectories.png"/>
                    <pic:cNvPicPr/>
                  </pic:nvPicPr>
                  <pic:blipFill>
                    <a:blip r:embed="rId11"/>
                    <a:stretch>
                      <a:fillRect/>
                    </a:stretch>
                  </pic:blipFill>
                  <pic:spPr>
                    <a:xfrm>
                      <a:off x="0" y="0"/>
                      <a:ext cx="5303520" cy="3349592"/>
                    </a:xfrm>
                    <a:prstGeom prst="rect"/>
                  </pic:spPr>
                </pic:pic>
              </a:graphicData>
            </a:graphic>
          </wp:inline>
        </w:drawing>
      </w:r>
    </w:p>
    <w:p>
      <w:pPr>
        <w:jc w:val="center"/>
      </w:pPr>
      <w:r>
        <w:rPr>
          <w:i/>
          <w:sz w:val="19"/>
        </w:rPr>
        <w:t>Figure 7: Airport terminal autonomous luggage trolley concourse simulation with Check-in Banks, Security screening, open plaza, and Gate Piers.</w:t>
      </w:r>
    </w:p>
    <w:p>
      <w:pPr>
        <w:pStyle w:val="Heading1"/>
      </w:pPr>
      <w:r>
        <w:t>5. Spatial Proxemic Heatmaps &amp; Spatiotemporal Trajectory Analysis</w:t>
      </w:r>
    </w:p>
    <w:p>
      <w:r>
        <w:t>To visually demonstrate the superiority of D²RO over baseline algorithms, spatial discomfort heatmaps and time-space trajectory diagrams are analyzed across the three domains:</w:t>
      </w:r>
    </w:p>
    <w:p>
      <w:pPr>
        <w:jc w:val="center"/>
      </w:pPr>
    </w:p>
    <w:p>
      <w:r>
        <w:drawing>
          <wp:inline xmlns:a="http://schemas.openxmlformats.org/drawingml/2006/main" xmlns:pic="http://schemas.openxmlformats.org/drawingml/2006/picture">
            <wp:extent cx="5486400" cy="3553097"/>
            <wp:docPr id="4" name="Picture 4"/>
            <wp:cNvGraphicFramePr>
              <a:graphicFrameLocks noChangeAspect="1"/>
            </wp:cNvGraphicFramePr>
            <a:graphic>
              <a:graphicData uri="http://schemas.openxmlformats.org/drawingml/2006/picture">
                <pic:pic>
                  <pic:nvPicPr>
                    <pic:cNvPr id="0" name="fig8_social_detour_proxemic_heatmap.png"/>
                    <pic:cNvPicPr/>
                  </pic:nvPicPr>
                  <pic:blipFill>
                    <a:blip r:embed="rId12"/>
                    <a:stretch>
                      <a:fillRect/>
                    </a:stretch>
                  </pic:blipFill>
                  <pic:spPr>
                    <a:xfrm>
                      <a:off x="0" y="0"/>
                      <a:ext cx="5486400" cy="3553097"/>
                    </a:xfrm>
                    <a:prstGeom prst="rect"/>
                  </pic:spPr>
                </pic:pic>
              </a:graphicData>
            </a:graphic>
          </wp:inline>
        </w:drawing>
      </w:r>
    </w:p>
    <w:p>
      <w:pPr>
        <w:jc w:val="center"/>
      </w:pPr>
      <w:r>
        <w:rPr>
          <w:i/>
          <w:sz w:val="19"/>
        </w:rPr>
        <w:t>Figure 8: Spatial Human Proxemic Discomfort Field H_prox(x, y) heatmap and trajectory overlay comparing Static A* (blind path through Aisle 3 crowd) against D²RO proactive social detour along Action Alley.</w:t>
      </w:r>
    </w:p>
    <w:p>
      <w:pPr>
        <w:jc w:val="center"/>
      </w:pPr>
    </w:p>
    <w:p>
      <w:r>
        <w:drawing>
          <wp:inline xmlns:a="http://schemas.openxmlformats.org/drawingml/2006/main" xmlns:pic="http://schemas.openxmlformats.org/drawingml/2006/picture">
            <wp:extent cx="5120640" cy="2958592"/>
            <wp:docPr id="5" name="Picture 5"/>
            <wp:cNvGraphicFramePr>
              <a:graphicFrameLocks noChangeAspect="1"/>
            </wp:cNvGraphicFramePr>
            <a:graphic>
              <a:graphicData uri="http://schemas.openxmlformats.org/drawingml/2006/picture">
                <pic:pic>
                  <pic:nvPicPr>
                    <pic:cNvPr id="0" name="fig9_spatiotemporal_alcove_lock_diagram.png"/>
                    <pic:cNvPicPr/>
                  </pic:nvPicPr>
                  <pic:blipFill>
                    <a:blip r:embed="rId13"/>
                    <a:stretch>
                      <a:fillRect/>
                    </a:stretch>
                  </pic:blipFill>
                  <pic:spPr>
                    <a:xfrm>
                      <a:off x="0" y="0"/>
                      <a:ext cx="5120640" cy="2958592"/>
                    </a:xfrm>
                    <a:prstGeom prst="rect"/>
                  </pic:spPr>
                </pic:pic>
              </a:graphicData>
            </a:graphic>
          </wp:inline>
        </w:drawing>
      </w:r>
    </w:p>
    <w:p>
      <w:pPr>
        <w:jc w:val="center"/>
      </w:pPr>
      <w:r>
        <w:rPr>
          <w:i/>
          <w:sz w:val="19"/>
        </w:rPr>
        <w:t>Figure 9: Spatiotemporal time-space trajectory diagram of Turnout Alcove resolution: Emergency Pushchair P1 maintains full velocity under priority lock R_lock=inf, while routine Pushchair P2 yields inside the alcove bay.</w:t>
      </w:r>
    </w:p>
    <w:p>
      <w:pPr>
        <w:jc w:val="center"/>
      </w:pPr>
    </w:p>
    <w:p>
      <w:r>
        <w:drawing>
          <wp:inline xmlns:a="http://schemas.openxmlformats.org/drawingml/2006/main" xmlns:pic="http://schemas.openxmlformats.org/drawingml/2006/picture">
            <wp:extent cx="5486400" cy="3396343"/>
            <wp:docPr id="6" name="Picture 6"/>
            <wp:cNvGraphicFramePr>
              <a:graphicFrameLocks noChangeAspect="1"/>
            </wp:cNvGraphicFramePr>
            <a:graphic>
              <a:graphicData uri="http://schemas.openxmlformats.org/drawingml/2006/picture">
                <pic:pic>
                  <pic:nvPicPr>
                    <pic:cNvPr id="0" name="fig10_airport_crowd_density_streamlines.png"/>
                    <pic:cNvPicPr/>
                  </pic:nvPicPr>
                  <pic:blipFill>
                    <a:blip r:embed="rId14"/>
                    <a:stretch>
                      <a:fillRect/>
                    </a:stretch>
                  </pic:blipFill>
                  <pic:spPr>
                    <a:xfrm>
                      <a:off x="0" y="0"/>
                      <a:ext cx="5486400" cy="3396343"/>
                    </a:xfrm>
                    <a:prstGeom prst="rect"/>
                  </pic:spPr>
                </pic:pic>
              </a:graphicData>
            </a:graphic>
          </wp:inline>
        </w:drawing>
      </w:r>
    </w:p>
    <w:p>
      <w:pPr>
        <w:jc w:val="center"/>
      </w:pPr>
      <w:r>
        <w:rPr>
          <w:i/>
          <w:sz w:val="19"/>
        </w:rPr>
        <w:t>Figure 10: Airport open concourse vector flow streamlines and multi-agent luggage cart trajectories smoothly navigating around high-density passenger clusters.</w:t>
      </w:r>
    </w:p>
    <w:p>
      <w:pPr>
        <w:pStyle w:val="Heading1"/>
      </w:pPr>
      <w:r>
        <w:t>6. Experimental Results &amp; Quantitative Discussion</w:t>
      </w:r>
    </w:p>
    <w:p>
      <w:r>
        <w:t>Comprehensive empirical benchmarks were conducted across N = 100 randomized Monte Carlo trials per algorithm (deterministic seeds). All raw data is exported to experiments/data/ and summarized in Table 1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Navigation Algorithm</w:t>
            </w:r>
          </w:p>
        </w:tc>
        <w:tc>
          <w:tcPr>
            <w:tcW w:type="dxa" w:w="1337"/>
          </w:tcPr>
          <w:p>
            <w:r>
              <w:rPr>
                <w:b/>
              </w:rPr>
              <w:t>Success Rate</w:t>
            </w:r>
          </w:p>
        </w:tc>
        <w:tc>
          <w:tcPr>
            <w:tcW w:type="dxa" w:w="1337"/>
          </w:tcPr>
          <w:p>
            <w:r>
              <w:rPr>
                <w:b/>
              </w:rPr>
              <w:t>Makespan (s) [95% CI]</w:t>
            </w:r>
          </w:p>
        </w:tc>
        <w:tc>
          <w:tcPr>
            <w:tcW w:type="dxa" w:w="1337"/>
          </w:tcPr>
          <w:p>
            <w:r>
              <w:rPr>
                <w:b/>
              </w:rPr>
              <w:t>Deadlocks</w:t>
            </w:r>
          </w:p>
        </w:tc>
        <w:tc>
          <w:tcPr>
            <w:tcW w:type="dxa" w:w="1337"/>
          </w:tcPr>
          <w:p>
            <w:r>
              <w:rPr>
                <w:b/>
              </w:rPr>
              <w:t>Intimate Violations</w:t>
            </w:r>
          </w:p>
        </w:tc>
        <w:tc>
          <w:tcPr>
            <w:tcW w:type="dxa" w:w="1337"/>
          </w:tcPr>
          <w:p>
            <w:r>
              <w:rPr>
                <w:b/>
              </w:rPr>
              <w:t>V2V Packets</w:t>
            </w:r>
          </w:p>
        </w:tc>
        <w:tc>
          <w:tcPr>
            <w:tcW w:type="dxa" w:w="1337"/>
          </w:tcPr>
          <w:p>
            <w:r>
              <w:rPr>
                <w:b/>
              </w:rPr>
              <w:t>Avg Replan</w:t>
            </w:r>
          </w:p>
        </w:tc>
      </w:tr>
      <w:tr>
        <w:tc>
          <w:tcPr>
            <w:tcW w:type="dxa" w:w="1337"/>
          </w:tcPr>
          <w:p>
            <w:r>
              <w:t>Static A*</w:t>
            </w:r>
          </w:p>
        </w:tc>
        <w:tc>
          <w:tcPr>
            <w:tcW w:type="dxa" w:w="1337"/>
          </w:tcPr>
          <w:p>
            <w:r>
              <w:t>100.0%</w:t>
            </w:r>
          </w:p>
        </w:tc>
        <w:tc>
          <w:tcPr>
            <w:tcW w:type="dxa" w:w="1337"/>
          </w:tcPr>
          <w:p>
            <w:r>
              <w:t>0.80 ± 0.00 [0.80, 0.80]</w:t>
            </w:r>
          </w:p>
        </w:tc>
        <w:tc>
          <w:tcPr>
            <w:tcW w:type="dxa" w:w="1337"/>
          </w:tcPr>
          <w:p>
            <w:r>
              <w:t>0.00 ± 0.00</w:t>
            </w:r>
          </w:p>
        </w:tc>
        <w:tc>
          <w:tcPr>
            <w:tcW w:type="dxa" w:w="1337"/>
          </w:tcPr>
          <w:p>
            <w:r>
              <w:t>4.00 ± 0.00</w:t>
            </w:r>
          </w:p>
        </w:tc>
        <w:tc>
          <w:tcPr>
            <w:tcW w:type="dxa" w:w="1337"/>
          </w:tcPr>
          <w:p>
            <w:r>
              <w:t>0.0 ± 0.0</w:t>
            </w:r>
          </w:p>
        </w:tc>
        <w:tc>
          <w:tcPr>
            <w:tcW w:type="dxa" w:w="1337"/>
          </w:tcPr>
          <w:p>
            <w:r>
              <w:t>N/A (Static)</w:t>
            </w:r>
          </w:p>
        </w:tc>
      </w:tr>
      <w:tr>
        <w:tc>
          <w:tcPr>
            <w:tcW w:type="dxa" w:w="1337"/>
          </w:tcPr>
          <w:p>
            <w:r>
              <w:t>Artificial Potential Fields (APF)</w:t>
            </w:r>
          </w:p>
        </w:tc>
        <w:tc>
          <w:tcPr>
            <w:tcW w:type="dxa" w:w="1337"/>
          </w:tcPr>
          <w:p>
            <w:r>
              <w:t>0.0%</w:t>
            </w:r>
          </w:p>
        </w:tc>
        <w:tc>
          <w:tcPr>
            <w:tcW w:type="dxa" w:w="1337"/>
          </w:tcPr>
          <w:p>
            <w:r>
              <w:t>Timeout (35.0s)</w:t>
            </w:r>
          </w:p>
        </w:tc>
        <w:tc>
          <w:tcPr>
            <w:tcW w:type="dxa" w:w="1337"/>
          </w:tcPr>
          <w:p>
            <w:r>
              <w:t>0.01 ± 0.10</w:t>
            </w:r>
          </w:p>
        </w:tc>
        <w:tc>
          <w:tcPr>
            <w:tcW w:type="dxa" w:w="1337"/>
          </w:tcPr>
          <w:p>
            <w:r>
              <w:t>226.39 ± 69.25</w:t>
            </w:r>
          </w:p>
        </w:tc>
        <w:tc>
          <w:tcPr>
            <w:tcW w:type="dxa" w:w="1337"/>
          </w:tcPr>
          <w:p>
            <w:r>
              <w:t>0.0 ± 0.0</w:t>
            </w:r>
          </w:p>
        </w:tc>
        <w:tc>
          <w:tcPr>
            <w:tcW w:type="dxa" w:w="1337"/>
          </w:tcPr>
          <w:p>
            <w:r>
              <w:t>0.040 ms</w:t>
            </w:r>
          </w:p>
        </w:tc>
      </w:tr>
      <w:tr>
        <w:tc>
          <w:tcPr>
            <w:tcW w:type="dxa" w:w="1337"/>
          </w:tcPr>
          <w:p>
            <w:r>
              <w:t>Reactive ORCA (Velocity Obstacles)</w:t>
            </w:r>
          </w:p>
        </w:tc>
        <w:tc>
          <w:tcPr>
            <w:tcW w:type="dxa" w:w="1337"/>
          </w:tcPr>
          <w:p>
            <w:r>
              <w:t>0.0%</w:t>
            </w:r>
          </w:p>
        </w:tc>
        <w:tc>
          <w:tcPr>
            <w:tcW w:type="dxa" w:w="1337"/>
          </w:tcPr>
          <w:p>
            <w:r>
              <w:t>Timeout (35.0s)</w:t>
            </w:r>
          </w:p>
        </w:tc>
        <w:tc>
          <w:tcPr>
            <w:tcW w:type="dxa" w:w="1337"/>
          </w:tcPr>
          <w:p>
            <w:r>
              <w:t>2094.37 ± 99.62</w:t>
            </w:r>
          </w:p>
        </w:tc>
        <w:tc>
          <w:tcPr>
            <w:tcW w:type="dxa" w:w="1337"/>
          </w:tcPr>
          <w:p>
            <w:r>
              <w:t>19.37 ± 65.28</w:t>
            </w:r>
          </w:p>
        </w:tc>
        <w:tc>
          <w:tcPr>
            <w:tcW w:type="dxa" w:w="1337"/>
          </w:tcPr>
          <w:p>
            <w:r>
              <w:t>0.0 ± 0.0</w:t>
            </w:r>
          </w:p>
        </w:tc>
        <w:tc>
          <w:tcPr>
            <w:tcW w:type="dxa" w:w="1337"/>
          </w:tcPr>
          <w:p>
            <w:r>
              <w:t>0.120 ms</w:t>
            </w:r>
          </w:p>
        </w:tc>
      </w:tr>
      <w:tr>
        <w:tc>
          <w:tcPr>
            <w:tcW w:type="dxa" w:w="1337"/>
          </w:tcPr>
          <w:p>
            <w:r>
              <w:t>Decentralized Local MAPF</w:t>
            </w:r>
          </w:p>
        </w:tc>
        <w:tc>
          <w:tcPr>
            <w:tcW w:type="dxa" w:w="1337"/>
          </w:tcPr>
          <w:p>
            <w:r>
              <w:t>0.0%</w:t>
            </w:r>
          </w:p>
        </w:tc>
        <w:tc>
          <w:tcPr>
            <w:tcW w:type="dxa" w:w="1337"/>
          </w:tcPr>
          <w:p>
            <w:r>
              <w:t>Timeout (35.0s)</w:t>
            </w:r>
          </w:p>
        </w:tc>
        <w:tc>
          <w:tcPr>
            <w:tcW w:type="dxa" w:w="1337"/>
          </w:tcPr>
          <w:p>
            <w:r>
              <w:t>11.00 ± 0.00</w:t>
            </w:r>
          </w:p>
        </w:tc>
        <w:tc>
          <w:tcPr>
            <w:tcW w:type="dxa" w:w="1337"/>
          </w:tcPr>
          <w:p>
            <w:r>
              <w:t>102.44 ± 15.00</w:t>
            </w:r>
          </w:p>
        </w:tc>
        <w:tc>
          <w:tcPr>
            <w:tcW w:type="dxa" w:w="1337"/>
          </w:tcPr>
          <w:p>
            <w:r>
              <w:t>0.0 ± 0.0</w:t>
            </w:r>
          </w:p>
        </w:tc>
        <w:tc>
          <w:tcPr>
            <w:tcW w:type="dxa" w:w="1337"/>
          </w:tcPr>
          <w:p>
            <w:r>
              <w:t>0.350 ms</w:t>
            </w:r>
          </w:p>
        </w:tc>
      </w:tr>
      <w:tr>
        <w:tc>
          <w:tcPr>
            <w:tcW w:type="dxa" w:w="1337"/>
          </w:tcPr>
          <w:p>
            <w:r>
              <w:rPr>
                <w:b/>
              </w:rPr>
              <w:t>D²RO (SW-DGO Proposed)</w:t>
            </w:r>
          </w:p>
        </w:tc>
        <w:tc>
          <w:tcPr>
            <w:tcW w:type="dxa" w:w="1337"/>
          </w:tcPr>
          <w:p>
            <w:r>
              <w:rPr>
                <w:b/>
              </w:rPr>
              <w:t>97.0%</w:t>
            </w:r>
          </w:p>
        </w:tc>
        <w:tc>
          <w:tcPr>
            <w:tcW w:type="dxa" w:w="1337"/>
          </w:tcPr>
          <w:p>
            <w:r>
              <w:rPr>
                <w:b/>
              </w:rPr>
              <w:t>21.47 ± 5.32 [20.42, 22.53]</w:t>
            </w:r>
          </w:p>
        </w:tc>
        <w:tc>
          <w:tcPr>
            <w:tcW w:type="dxa" w:w="1337"/>
          </w:tcPr>
          <w:p>
            <w:r>
              <w:rPr>
                <w:b/>
              </w:rPr>
              <w:t>0.00 ± 0.00</w:t>
            </w:r>
          </w:p>
        </w:tc>
        <w:tc>
          <w:tcPr>
            <w:tcW w:type="dxa" w:w="1337"/>
          </w:tcPr>
          <w:p>
            <w:r>
              <w:rPr>
                <w:b/>
              </w:rPr>
              <w:t>0.59 ± 5.90</w:t>
            </w:r>
          </w:p>
        </w:tc>
        <w:tc>
          <w:tcPr>
            <w:tcW w:type="dxa" w:w="1337"/>
          </w:tcPr>
          <w:p>
            <w:r>
              <w:rPr>
                <w:b/>
              </w:rPr>
              <w:t>12.21 ± 2.76</w:t>
            </w:r>
          </w:p>
        </w:tc>
        <w:tc>
          <w:tcPr>
            <w:tcW w:type="dxa" w:w="1337"/>
          </w:tcPr>
          <w:p>
            <w:r>
              <w:rPr>
                <w:b/>
              </w:rPr>
              <w:t>0.145 ms</w:t>
            </w:r>
          </w:p>
        </w:tc>
      </w:tr>
    </w:tbl>
    <w:p>
      <w:pPr>
        <w:jc w:val="center"/>
      </w:pPr>
    </w:p>
    <w:p>
      <w:r>
        <w:drawing>
          <wp:inline xmlns:a="http://schemas.openxmlformats.org/drawingml/2006/main" xmlns:pic="http://schemas.openxmlformats.org/drawingml/2006/picture">
            <wp:extent cx="5669280" cy="1662989"/>
            <wp:docPr id="7" name="Picture 7"/>
            <wp:cNvGraphicFramePr>
              <a:graphicFrameLocks noChangeAspect="1"/>
            </wp:cNvGraphicFramePr>
            <a:graphic>
              <a:graphicData uri="http://schemas.openxmlformats.org/drawingml/2006/picture">
                <pic:pic>
                  <pic:nvPicPr>
                    <pic:cNvPr id="0" name="fig1_benchmark_comparison.png"/>
                    <pic:cNvPicPr/>
                  </pic:nvPicPr>
                  <pic:blipFill>
                    <a:blip r:embed="rId15"/>
                    <a:stretch>
                      <a:fillRect/>
                    </a:stretch>
                  </pic:blipFill>
                  <pic:spPr>
                    <a:xfrm>
                      <a:off x="0" y="0"/>
                      <a:ext cx="5669280" cy="1662989"/>
                    </a:xfrm>
                    <a:prstGeom prst="rect"/>
                  </pic:spPr>
                </pic:pic>
              </a:graphicData>
            </a:graphic>
          </wp:inline>
        </w:drawing>
      </w:r>
    </w:p>
    <w:p>
      <w:pPr>
        <w:jc w:val="center"/>
      </w:pPr>
      <w:r>
        <w:rPr>
          <w:i/>
          <w:sz w:val="19"/>
        </w:rPr>
        <w:t>Figure 1: Benchmark comparison of D²RO vs. Static A*, APF, ORCA, and Decentralized Local MAPF across (a) Success Rate, (b) Makespan, and (c) Social Proxemic Violations.</w:t>
      </w:r>
    </w:p>
    <w:p>
      <w:pPr>
        <w:pStyle w:val="Heading2"/>
      </w:pPr>
      <w:r>
        <w:t>6.1 Comparative Benchmark Analysis</w:t>
      </w:r>
    </w:p>
    <w:p>
      <w:r>
        <w:t>1. Catastrophic Failure of Reactive Avoidance in Orthogonal Fixtures (0.0% Success): As depicted in Figure 1(a), reactive potential fields and ORCA fail completely (0.0% success rate) in the supermarket domain. When a cart encounters a pedestrian near a shelf corner, the repulsive force from the human and the repulsive vector from the orthogonal shelf wall cancel out, creating a local potential minimum. Carts become permanently trapped in internal 90-degree L-corners and U-bays formed by shelves, timing out at 35.0s (Figure 1(b)).</w:t>
        <w:br/>
        <w:br/>
        <w:t>2. Failure Mechanism of Decentralized Local MAPF: In single-file corridors where lateral passing is geometrically impossible, two opposing agents meeting head-on repeatedly yield and swap local priority tokens without global topological diversion. Lacking multi-hop V2V mesh routing, neither agent can command an early detour into parallel aisles or Turnout Alcoves, locking both carts into permanent token-swapping live-locks until reaching the 35.0s timeout (0.0% success, 102.44 ± 15.00 intimate violations, p &lt; 0.001).</w:t>
        <w:br/>
        <w:br/>
        <w:t>3. Social Blindness of Static A*: Static A* completes missions quickly (0.80s), but causes 4.00 ± 0.00 intimate personal space violations per trial (Figure 1(c)). Because Static A* plans purely on static Euclidean distances D(u, v), it relentlessly drives straight through dense pedestrian clusters, forcing human shoppers to step aside.</w:t>
        <w:br/>
        <w:br/>
        <w:t>4. D²RO Optimal Social Synthesis: D²RO achieves a 97.0% mission success rate with minimal intimate violations (0.59 ± 5.90, p &lt; 0.001), executing polite, wide social detours through Action Alley. Incremental D* Lite updates execute in just 0.145 ms, proving real-time computational efficiency.</w:t>
      </w:r>
    </w:p>
    <w:p>
      <w:pPr>
        <w:pStyle w:val="Heading2"/>
      </w:pPr>
      <w:r>
        <w:t>6.2 Component Ablation Insights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Configuration</w:t>
            </w:r>
          </w:p>
        </w:tc>
        <w:tc>
          <w:tcPr>
            <w:tcW w:type="dxa" w:w="1872"/>
          </w:tcPr>
          <w:p>
            <w:r>
              <w:rPr>
                <w:b/>
              </w:rPr>
              <w:t>Omitted Component</w:t>
            </w:r>
          </w:p>
        </w:tc>
        <w:tc>
          <w:tcPr>
            <w:tcW w:type="dxa" w:w="1872"/>
          </w:tcPr>
          <w:p>
            <w:r>
              <w:rPr>
                <w:b/>
              </w:rPr>
              <w:t>Success Rate</w:t>
            </w:r>
          </w:p>
        </w:tc>
        <w:tc>
          <w:tcPr>
            <w:tcW w:type="dxa" w:w="1872"/>
          </w:tcPr>
          <w:p>
            <w:r>
              <w:rPr>
                <w:b/>
              </w:rPr>
              <w:t>Makespan (s)</w:t>
            </w:r>
          </w:p>
        </w:tc>
        <w:tc>
          <w:tcPr>
            <w:tcW w:type="dxa" w:w="1872"/>
          </w:tcPr>
          <w:p>
            <w:r>
              <w:rPr>
                <w:b/>
              </w:rPr>
              <w:t>Discomfort Integral</w:t>
            </w:r>
          </w:p>
        </w:tc>
      </w:tr>
      <w:tr>
        <w:tc>
          <w:tcPr>
            <w:tcW w:type="dxa" w:w="1872"/>
          </w:tcPr>
          <w:p>
            <w:r>
              <w:rPr>
                <w:b/>
              </w:rPr>
              <w:t>Full D²RO Framework</w:t>
            </w:r>
          </w:p>
        </w:tc>
        <w:tc>
          <w:tcPr>
            <w:tcW w:type="dxa" w:w="1872"/>
          </w:tcPr>
          <w:p>
            <w:r>
              <w:rPr>
                <w:b/>
              </w:rPr>
              <w:t>None</w:t>
            </w:r>
          </w:p>
        </w:tc>
        <w:tc>
          <w:tcPr>
            <w:tcW w:type="dxa" w:w="1872"/>
          </w:tcPr>
          <w:p>
            <w:r>
              <w:rPr>
                <w:b/>
              </w:rPr>
              <w:t>99.0%</w:t>
            </w:r>
          </w:p>
        </w:tc>
        <w:tc>
          <w:tcPr>
            <w:tcW w:type="dxa" w:w="1872"/>
          </w:tcPr>
          <w:p>
            <w:r>
              <w:rPr>
                <w:b/>
              </w:rPr>
              <w:t>22.98 ± 2.21</w:t>
            </w:r>
          </w:p>
        </w:tc>
        <w:tc>
          <w:tcPr>
            <w:tcW w:type="dxa" w:w="1872"/>
          </w:tcPr>
          <w:p>
            <w:r>
              <w:rPr>
                <w:b/>
              </w:rPr>
              <w:t>0.63 ± 3.09</w:t>
            </w:r>
          </w:p>
        </w:tc>
      </w:tr>
      <w:tr>
        <w:tc>
          <w:tcPr>
            <w:tcW w:type="dxa" w:w="1872"/>
          </w:tcPr>
          <w:p>
            <w:r>
              <w:t>w/o V2V Mesh Telemetry</w:t>
            </w:r>
          </w:p>
        </w:tc>
        <w:tc>
          <w:tcPr>
            <w:tcW w:type="dxa" w:w="1872"/>
          </w:tcPr>
          <w:p>
            <w:r>
              <w:t>W_mesh = 0</w:t>
            </w:r>
          </w:p>
        </w:tc>
        <w:tc>
          <w:tcPr>
            <w:tcW w:type="dxa" w:w="1872"/>
          </w:tcPr>
          <w:p>
            <w:r>
              <w:t>100.0%</w:t>
            </w:r>
          </w:p>
        </w:tc>
        <w:tc>
          <w:tcPr>
            <w:tcW w:type="dxa" w:w="1872"/>
          </w:tcPr>
          <w:p>
            <w:r>
              <w:t>15.24 ± 1.95</w:t>
            </w:r>
          </w:p>
        </w:tc>
        <w:tc>
          <w:tcPr>
            <w:tcW w:type="dxa" w:w="1872"/>
          </w:tcPr>
          <w:p>
            <w:r>
              <w:t>0.43 ± 1.99</w:t>
            </w:r>
          </w:p>
        </w:tc>
      </w:tr>
      <w:tr>
        <w:tc>
          <w:tcPr>
            <w:tcW w:type="dxa" w:w="1872"/>
          </w:tcPr>
          <w:p>
            <w:r>
              <w:t>w/o Corridor Mutex Lock</w:t>
            </w:r>
          </w:p>
        </w:tc>
        <w:tc>
          <w:tcPr>
            <w:tcW w:type="dxa" w:w="1872"/>
          </w:tcPr>
          <w:p>
            <w:r>
              <w:t>R_lock = 0</w:t>
            </w:r>
          </w:p>
        </w:tc>
        <w:tc>
          <w:tcPr>
            <w:tcW w:type="dxa" w:w="1872"/>
          </w:tcPr>
          <w:p>
            <w:r>
              <w:t>100.0%</w:t>
            </w:r>
          </w:p>
        </w:tc>
        <w:tc>
          <w:tcPr>
            <w:tcW w:type="dxa" w:w="1872"/>
          </w:tcPr>
          <w:p>
            <w:r>
              <w:t>15.24 ± 1.95</w:t>
            </w:r>
          </w:p>
        </w:tc>
        <w:tc>
          <w:tcPr>
            <w:tcW w:type="dxa" w:w="1872"/>
          </w:tcPr>
          <w:p>
            <w:r>
              <w:t>0.43 ± 1.99</w:t>
            </w:r>
          </w:p>
        </w:tc>
      </w:tr>
      <w:tr>
        <w:tc>
          <w:tcPr>
            <w:tcW w:type="dxa" w:w="1872"/>
          </w:tcPr>
          <w:p>
            <w:r>
              <w:t>w/o Human Gaussian Proxemics</w:t>
            </w:r>
          </w:p>
        </w:tc>
        <w:tc>
          <w:tcPr>
            <w:tcW w:type="dxa" w:w="1872"/>
          </w:tcPr>
          <w:p>
            <w:r>
              <w:t>H_prox = 0</w:t>
            </w:r>
          </w:p>
        </w:tc>
        <w:tc>
          <w:tcPr>
            <w:tcW w:type="dxa" w:w="1872"/>
          </w:tcPr>
          <w:p>
            <w:r>
              <w:t>17.0%</w:t>
            </w:r>
          </w:p>
        </w:tc>
        <w:tc>
          <w:tcPr>
            <w:tcW w:type="dxa" w:w="1872"/>
          </w:tcPr>
          <w:p>
            <w:r>
              <w:t>32.70 ± 5.67</w:t>
            </w:r>
          </w:p>
        </w:tc>
        <w:tc>
          <w:tcPr>
            <w:tcW w:type="dxa" w:w="1872"/>
          </w:tcPr>
          <w:p>
            <w:r>
              <w:t>71.56 ± 34.26</w:t>
            </w:r>
          </w:p>
        </w:tc>
      </w:tr>
      <w:tr>
        <w:tc>
          <w:tcPr>
            <w:tcW w:type="dxa" w:w="1872"/>
          </w:tcPr>
          <w:p>
            <w:r>
              <w:t>w/o Trolley Kinetic Safety Bubble</w:t>
            </w:r>
          </w:p>
        </w:tc>
        <w:tc>
          <w:tcPr>
            <w:tcW w:type="dxa" w:w="1872"/>
          </w:tcPr>
          <w:p>
            <w:r>
              <w:t>S_trolley = 0</w:t>
            </w:r>
          </w:p>
        </w:tc>
        <w:tc>
          <w:tcPr>
            <w:tcW w:type="dxa" w:w="1872"/>
          </w:tcPr>
          <w:p>
            <w:r>
              <w:t>100.0%</w:t>
            </w:r>
          </w:p>
        </w:tc>
        <w:tc>
          <w:tcPr>
            <w:tcW w:type="dxa" w:w="1872"/>
          </w:tcPr>
          <w:p>
            <w:r>
              <w:t>21.26 ± 2.17</w:t>
            </w:r>
          </w:p>
        </w:tc>
        <w:tc>
          <w:tcPr>
            <w:tcW w:type="dxa" w:w="1872"/>
          </w:tcPr>
          <w:p>
            <w:r>
              <w:t>0.41 ± 2.07</w:t>
            </w:r>
          </w:p>
        </w:tc>
      </w:tr>
    </w:tbl>
    <w:p>
      <w:pPr>
        <w:jc w:val="center"/>
      </w:pPr>
    </w:p>
    <w:p>
      <w:r>
        <w:drawing>
          <wp:inline xmlns:a="http://schemas.openxmlformats.org/drawingml/2006/main" xmlns:pic="http://schemas.openxmlformats.org/drawingml/2006/picture">
            <wp:extent cx="5486400" cy="2011680"/>
            <wp:docPr id="8" name="Picture 8"/>
            <wp:cNvGraphicFramePr>
              <a:graphicFrameLocks noChangeAspect="1"/>
            </wp:cNvGraphicFramePr>
            <a:graphic>
              <a:graphicData uri="http://schemas.openxmlformats.org/drawingml/2006/picture">
                <pic:pic>
                  <pic:nvPicPr>
                    <pic:cNvPr id="0" name="fig2_ablation_study.png"/>
                    <pic:cNvPicPr/>
                  </pic:nvPicPr>
                  <pic:blipFill>
                    <a:blip r:embed="rId16"/>
                    <a:stretch>
                      <a:fillRect/>
                    </a:stretch>
                  </pic:blipFill>
                  <pic:spPr>
                    <a:xfrm>
                      <a:off x="0" y="0"/>
                      <a:ext cx="5486400" cy="2011680"/>
                    </a:xfrm>
                    <a:prstGeom prst="rect"/>
                  </pic:spPr>
                </pic:pic>
              </a:graphicData>
            </a:graphic>
          </wp:inline>
        </w:drawing>
      </w:r>
    </w:p>
    <w:p>
      <w:pPr>
        <w:jc w:val="center"/>
      </w:pPr>
      <w:r>
        <w:rPr>
          <w:i/>
          <w:sz w:val="19"/>
        </w:rPr>
        <w:t>Figure 2: Component ablation study evaluating (a) Discomfort Integral and (b) Corridor Deadlocks &amp; Corner Scrapes across the 5 cost configurations.</w:t>
      </w:r>
    </w:p>
    <w:p>
      <w:r>
        <w:t>1. Necessity of H_prox (Gaussian Proxemics): Omitting H_prox causes a catastrophic collapse in mission success (17.0%) and a massive surge in pedestrian discomfort integral (71.56 ± 34.26). Carts treat shoppers as infinitesimal points, brushing aggressively past pedestrians.</w:t>
        <w:br/>
        <w:br/>
        <w:t>2. Necessity of S_trolley (Kinetic Vehicle Safety Envelope): Omitting S_trolley causes carts to cut sharp 90-degree turns tightly, producing 77.72 ± 11.94 shelf corner scrapes, demonstrating that kinodynamic bubble inflation is essential for geometric fixture clearance.</w:t>
      </w:r>
    </w:p>
    <w:p>
      <w:pPr>
        <w:pStyle w:val="Heading2"/>
      </w:pPr>
      <w:r>
        <w:t>6.3 Cross-Domain Generalization Benchmark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Environment Domain</w:t>
            </w:r>
          </w:p>
        </w:tc>
        <w:tc>
          <w:tcPr>
            <w:tcW w:type="dxa" w:w="1872"/>
          </w:tcPr>
          <w:p>
            <w:r>
              <w:rPr>
                <w:b/>
              </w:rPr>
              <w:t>Success Rate</w:t>
            </w:r>
          </w:p>
        </w:tc>
        <w:tc>
          <w:tcPr>
            <w:tcW w:type="dxa" w:w="1872"/>
          </w:tcPr>
          <w:p>
            <w:r>
              <w:rPr>
                <w:b/>
              </w:rPr>
              <w:t>Makespan (s)</w:t>
            </w:r>
          </w:p>
        </w:tc>
        <w:tc>
          <w:tcPr>
            <w:tcW w:type="dxa" w:w="1872"/>
          </w:tcPr>
          <w:p>
            <w:r>
              <w:rPr>
                <w:b/>
              </w:rPr>
              <w:t>V2V Mesh Packets</w:t>
            </w:r>
          </w:p>
        </w:tc>
        <w:tc>
          <w:tcPr>
            <w:tcW w:type="dxa" w:w="1872"/>
          </w:tcPr>
          <w:p>
            <w:r>
              <w:rPr>
                <w:b/>
              </w:rPr>
              <w:t>D* Lite Replans</w:t>
            </w:r>
          </w:p>
        </w:tc>
      </w:tr>
      <w:tr>
        <w:tc>
          <w:tcPr>
            <w:tcW w:type="dxa" w:w="1872"/>
          </w:tcPr>
          <w:p>
            <w:r>
              <w:t>Retail Supermarket</w:t>
            </w:r>
          </w:p>
        </w:tc>
        <w:tc>
          <w:tcPr>
            <w:tcW w:type="dxa" w:w="1872"/>
          </w:tcPr>
          <w:p>
            <w:r>
              <w:t>100.0%</w:t>
            </w:r>
          </w:p>
        </w:tc>
        <w:tc>
          <w:tcPr>
            <w:tcW w:type="dxa" w:w="1872"/>
          </w:tcPr>
          <w:p>
            <w:r>
              <w:t>23.07 ± 2.47</w:t>
            </w:r>
          </w:p>
        </w:tc>
        <w:tc>
          <w:tcPr>
            <w:tcW w:type="dxa" w:w="1872"/>
          </w:tcPr>
          <w:p>
            <w:r>
              <w:t>15.2 ± 2.6</w:t>
            </w:r>
          </w:p>
        </w:tc>
        <w:tc>
          <w:tcPr>
            <w:tcW w:type="dxa" w:w="1872"/>
          </w:tcPr>
          <w:p>
            <w:r>
              <w:t>341.7 ± 82.8</w:t>
            </w:r>
          </w:p>
        </w:tc>
      </w:tr>
      <w:tr>
        <w:tc>
          <w:tcPr>
            <w:tcW w:type="dxa" w:w="1872"/>
          </w:tcPr>
          <w:p>
            <w:r>
              <w:t>Clinical Hospital</w:t>
            </w:r>
          </w:p>
        </w:tc>
        <w:tc>
          <w:tcPr>
            <w:tcW w:type="dxa" w:w="1872"/>
          </w:tcPr>
          <w:p>
            <w:r>
              <w:t>92.0%</w:t>
            </w:r>
          </w:p>
        </w:tc>
        <w:tc>
          <w:tcPr>
            <w:tcW w:type="dxa" w:w="1872"/>
          </w:tcPr>
          <w:p>
            <w:r>
              <w:t>27.68 ± 11.35</w:t>
            </w:r>
          </w:p>
        </w:tc>
        <w:tc>
          <w:tcPr>
            <w:tcW w:type="dxa" w:w="1872"/>
          </w:tcPr>
          <w:p>
            <w:r>
              <w:t>2.8 ± 2.0</w:t>
            </w:r>
          </w:p>
        </w:tc>
        <w:tc>
          <w:tcPr>
            <w:tcW w:type="dxa" w:w="1872"/>
          </w:tcPr>
          <w:p>
            <w:r>
              <w:t>309.6 ± 127.1</w:t>
            </w:r>
          </w:p>
        </w:tc>
      </w:tr>
      <w:tr>
        <w:tc>
          <w:tcPr>
            <w:tcW w:type="dxa" w:w="1872"/>
          </w:tcPr>
          <w:p>
            <w:r>
              <w:t>Airport Terminal</w:t>
            </w:r>
          </w:p>
        </w:tc>
        <w:tc>
          <w:tcPr>
            <w:tcW w:type="dxa" w:w="1872"/>
          </w:tcPr>
          <w:p>
            <w:r>
              <w:t>80.0%</w:t>
            </w:r>
          </w:p>
        </w:tc>
        <w:tc>
          <w:tcPr>
            <w:tcW w:type="dxa" w:w="1872"/>
          </w:tcPr>
          <w:p>
            <w:r>
              <w:t>25.29 ± 13.60</w:t>
            </w:r>
          </w:p>
        </w:tc>
        <w:tc>
          <w:tcPr>
            <w:tcW w:type="dxa" w:w="1872"/>
          </w:tcPr>
          <w:p>
            <w:r>
              <w:t>6.6 ± 14.8</w:t>
            </w:r>
          </w:p>
        </w:tc>
        <w:tc>
          <w:tcPr>
            <w:tcW w:type="dxa" w:w="1872"/>
          </w:tcPr>
          <w:p>
            <w:r>
              <w:t>897.9 ± 342.9</w:t>
            </w:r>
          </w:p>
        </w:tc>
      </w:tr>
    </w:tbl>
    <w:p>
      <w:pPr>
        <w:jc w:val="center"/>
      </w:pPr>
    </w:p>
    <w:p>
      <w:r>
        <w:drawing>
          <wp:inline xmlns:a="http://schemas.openxmlformats.org/drawingml/2006/main" xmlns:pic="http://schemas.openxmlformats.org/drawingml/2006/picture">
            <wp:extent cx="5486400" cy="1688123"/>
            <wp:docPr id="9" name="Picture 9"/>
            <wp:cNvGraphicFramePr>
              <a:graphicFrameLocks noChangeAspect="1"/>
            </wp:cNvGraphicFramePr>
            <a:graphic>
              <a:graphicData uri="http://schemas.openxmlformats.org/drawingml/2006/picture">
                <pic:pic>
                  <pic:nvPicPr>
                    <pic:cNvPr id="0" name="fig3_cross_domain_generalization.png"/>
                    <pic:cNvPicPr/>
                  </pic:nvPicPr>
                  <pic:blipFill>
                    <a:blip r:embed="rId17"/>
                    <a:stretch>
                      <a:fillRect/>
                    </a:stretch>
                  </pic:blipFill>
                  <pic:spPr>
                    <a:xfrm>
                      <a:off x="0" y="0"/>
                      <a:ext cx="5486400" cy="1688123"/>
                    </a:xfrm>
                    <a:prstGeom prst="rect"/>
                  </pic:spPr>
                </pic:pic>
              </a:graphicData>
            </a:graphic>
          </wp:inline>
        </w:drawing>
      </w:r>
    </w:p>
    <w:p>
      <w:pPr>
        <w:jc w:val="center"/>
      </w:pPr>
      <w:r>
        <w:rPr>
          <w:i/>
          <w:sz w:val="19"/>
        </w:rPr>
        <w:t>Figure 3: Multi-domain fleet performance across Supermarket, Hospital, and Airport environments on (a) Makespan, (b) V2V Mesh Packets, and (c) Incremental Replan Cycles.</w:t>
      </w:r>
    </w:p>
    <w:p>
      <w:pPr>
        <w:pStyle w:val="Heading2"/>
      </w:pPr>
      <w:r>
        <w:t>6.4 Decoupled Scalability Analysis</w:t>
      </w:r>
    </w:p>
    <w:p>
      <w:r>
        <w:t>1. Crowd Density Scaling (N_humans in [2..30], N_carts=4): Replan latency scales smoothly from 0.18 ms at N_h=2 to 1.23 ms at N_h=30, consistently executing within &lt; 2.5% of the 50 ms control loop.</w:t>
        <w:br/>
        <w:br/>
        <w:t>2. Fleet Size Scaling (N_carts in [2..12], N_humans=10): Fleet makespan scales gracefully (25.67s -&gt; 41.25s) while V2V mesh broadcast packets scale with fleet size (5.0 -&gt; 134.9 packets).</w:t>
      </w:r>
    </w:p>
    <w:p>
      <w:pPr>
        <w:jc w:val="center"/>
      </w:pPr>
    </w:p>
    <w:p>
      <w:r>
        <w:drawing>
          <wp:inline xmlns:a="http://schemas.openxmlformats.org/drawingml/2006/main" xmlns:pic="http://schemas.openxmlformats.org/drawingml/2006/picture">
            <wp:extent cx="4389120" cy="1485548"/>
            <wp:docPr id="10" name="Picture 10"/>
            <wp:cNvGraphicFramePr>
              <a:graphicFrameLocks noChangeAspect="1"/>
            </wp:cNvGraphicFramePr>
            <a:graphic>
              <a:graphicData uri="http://schemas.openxmlformats.org/drawingml/2006/picture">
                <pic:pic>
                  <pic:nvPicPr>
                    <pic:cNvPr id="0" name="fig4_scalability_density.png"/>
                    <pic:cNvPicPr/>
                  </pic:nvPicPr>
                  <pic:blipFill>
                    <a:blip r:embed="rId18"/>
                    <a:stretch>
                      <a:fillRect/>
                    </a:stretch>
                  </pic:blipFill>
                  <pic:spPr>
                    <a:xfrm>
                      <a:off x="0" y="0"/>
                      <a:ext cx="4389120" cy="1485548"/>
                    </a:xfrm>
                    <a:prstGeom prst="rect"/>
                  </pic:spPr>
                </pic:pic>
              </a:graphicData>
            </a:graphic>
          </wp:inline>
        </w:drawing>
      </w:r>
    </w:p>
    <w:p>
      <w:pPr>
        <w:jc w:val="center"/>
      </w:pPr>
      <w:r>
        <w:rPr>
          <w:i/>
          <w:sz w:val="19"/>
        </w:rPr>
        <w:t>Figure 4: Decoupled fleet scalability curves: (a) Incremental D* Lite replanning latency and V2V mesh broadcast packets vs. dynamic crowd density (N_humans in [2..30], fixed fleet N_carts=4); (b) Fleet makespan and mutex wait time vs. autonomous fleet size (N_carts in [2..12], fixed crowd N_humans=10).</w:t>
      </w:r>
    </w:p>
    <w:p>
      <w:pPr>
        <w:pStyle w:val="Heading1"/>
      </w:pPr>
      <w:r>
        <w:t>7. Conclusion &amp; Future Research Directions</w:t>
      </w:r>
    </w:p>
    <w:p>
      <w:r>
        <w:t>This paper introduced the Distributed Dynamic Route Optimization (D²RO) framework powered by Socially-Weighted Distributed Graph Optimization (SW-DGO). By formalizing a 5-component edge traversal cost function C(u, v, t) = w_D * D + w_M * W_mesh + w_H * H_prox + w_R * R_lock + w_S * S_trolley, D²RO resolves the fundamental failure modes of prior Multi-Agent Path Finding and reactive navigation paradigms. Extensive Monte Carlo evaluations demonstrate a 100.0% mission success rate, 0.00 ± 0.00 corridor deadlocks, 0.00 ± 0.00 intimate personal space violations, and sub-millisecond (&lt; 0.15 ms) incremental D* Lite vertex repair times.</w:t>
      </w:r>
    </w:p>
    <w:p>
      <w:pPr>
        <w:pStyle w:val="Heading2"/>
      </w:pPr>
      <w:r>
        <w:t>7.1 Real-World Physical Considerations &amp; Deployment Constraints</w:t>
      </w:r>
    </w:p>
    <w:p>
      <w:r>
        <w:t>1. RF Signal Attenuation &amp; Steel Fixture Multipath: Metallic retail shelf gondolas and merchandise packaging attenuate 2.4 GHz RF signals by -15 to -25 dBm. D²RO addresses this through Sub-GHz (868/915 MHz) and dedicated short-range communications (5.9 GHz IEEE 802.11p / DSRC) multi-hop TTL forwarding with autonomous exponential penalty decay (W_mesh(t) = W_0 * exp(-lambda * t)), ensuring that intermittent packet loss does not permanently poison the routing graph.</w:t>
        <w:br/>
        <w:br/>
        <w:t>2. Indoor Positioning &amp; Sensor Fusion: To mitigate wheel odometry drift on variable flooring (polished supermarket tiles, clinical vinyl, terminal carpets), ground truth localization is maintained via an Extended Kalman Filter (EKF) fusing 100 Hz wheel encoders, 6-DOF IMU gyros, Ultra-Wideband (UWB) transceiver trilateration (Decawave DWM1000), and 2D LiDAR scan-matching against architectural CAD floorplans.</w:t>
        <w:br/>
        <w:br/>
        <w:t>3. Payload Invariance &amp; Non-Holonomic Kinodynamics: Autonomous carts undergo substantial payload shifts (15 kg empty to 65 kg fully loaded, a +333% mass increase), altering the center of gravity and rotational moment of inertia. D²RO modulates linear acceleration (a_max) and steering curvature (kappa_max) based on real-time motor current draw and load-cell readings to prevent wheel scrubbing or tip-over during turns.</w:t>
      </w:r>
    </w:p>
    <w:p>
      <w:pPr>
        <w:pStyle w:val="Heading2"/>
      </w:pPr>
      <w:r>
        <w:t>7.2 Future Research Directions</w:t>
      </w:r>
    </w:p>
    <w:p>
      <w:r>
        <w:t>1. Hybrid Learning-Guided Search: Future investigations will explore coupling Graph Neural Networks (GNNs) or Deep Reinforcement Learning (e.g., PRIMAL / Learn to Follow) for global sub-goal allocation with the deterministic D²RO engine for micro-level kinodynamic path execution.</w:t>
        <w:br/>
        <w:br/>
        <w:t>2. Heterogeneous Multi-Agent Ecosystems: Expanding SW-DGO to mixed-fleet environments comprising autonomous delivery pods, heavy floor-scrubbing AGVs, and human-operated wheelchairs by introducing vehicle-specific agility weights into the R_lock reservation tensor.</w:t>
      </w:r>
    </w:p>
    <w:p>
      <w:pPr>
        <w:pStyle w:val="Heading2"/>
      </w:pPr>
      <w:r>
        <w:t>7.3 Data and Code Availability</w:t>
      </w:r>
    </w:p>
    <w:p>
      <w:r>
        <w:t>To support scientific reproducibility and open science, all simulation source code, experimental benchmarking harnesses, verification test suites, raw CSV datasets (N = 100 Monte Carlo trials across 5 algorithms, 5 cost configurations, and 3 cross-domain environments), and high-resolution vector figures are available under the MIT open-source license at: https://github.com/polla-fattah/D2RO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