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Socially-Weighted Distributed Graph Optimization (D²RO) for Autonomous Multi-Agent Service Fleets in Crowded Environments</w:t>
        <w:br/>
      </w:r>
    </w:p>
    <w:p>
      <w:pPr>
        <w:jc w:val="center"/>
      </w:pPr>
      <w:r>
        <w:rPr>
          <w:i/>
          <w:sz w:val="22"/>
        </w:rPr>
        <w:t>Polla Fattah, et al.</w:t>
        <w:br/>
        <w:t>Department of Computer Science &amp; Robotics</w:t>
        <w:br/>
      </w:r>
    </w:p>
    <w:p>
      <w:pPr>
        <w:pStyle w:val="Heading1"/>
      </w:pPr>
      <w:r>
        <w:t>Abstract</w:t>
      </w:r>
    </w:p>
    <w:p>
      <w:r>
        <w:rPr>
          <w:sz w:val="21"/>
        </w:rPr>
        <w:t>The continuous navigation of autonomous service fleets—such as retail shopping trolleys (Int-Cart), hospital pushchairs, and airport luggage carts—in crowded, human-shared environments poses complex multi-agent challenges. Traditional Multi-Agent Path Finding (MAPF) and reactive collision avoidance methods (e.g., ORCA) suffer from local potential minima traps, corridor live-locks, and social discomfort violations. This paper proposes the Distributed Dynamic Route Optimization (D²RO) framework powered by Socially-Weighted Distributed Graph Optimization (SW-DGO). D²RO synthesizes incremental heuristic search (D* Lite), event-driven Vehicle-to-Vehicle (V2V) ad-hoc mesh telemetry with exponential decay, continuous 2D anisotropic Gaussian human proxemics, spatiotemporal directional corridor mutex locks, and non-holonomic kinetic safety clearance envelopes (S_trolley). Evaluated across 20 randomized Monte Carlo trials in retail supermarket, hospital, and airport architectures, D²RO achieves a 100.0% mission success rate with 0.0 intimate proxemic violations, eliminating 100% of corridor deadlocks and executing incremental vertex repairs in under 0.12 ms on low-cost embedded hardware.</w:t>
      </w:r>
    </w:p>
    <w:p>
      <w:pPr>
        <w:pStyle w:val="Heading1"/>
      </w:pPr>
      <w:r>
        <w:t>1. Introduction &amp; Literature Review</w:t>
      </w:r>
    </w:p>
    <w:p>
      <w:r>
        <w:t>The automation of independent, communicating agents in dynamic, confined environments—such as supermarket trolleys navigating shifting obstacles and crowds—requires the convergence of several distinct robotic domains. The proposed Distributed Dynamic Route Optimization (D²RO) framework builds upon foundational work in Multi-Agent Path Finding (MAPF), dynamic graph replanning, local collision avoidance, ad-hoc mesh communication, physical trolley mechatronics, and human-aware navigation.</w:t>
      </w:r>
    </w:p>
    <w:p>
      <w:pPr>
        <w:pStyle w:val="Heading2"/>
      </w:pPr>
      <w:r>
        <w:t>1.1 Decentralized and Lifelong Multi-Agent Path Finding (MAPF)</w:t>
      </w:r>
    </w:p>
    <w:p>
      <w:r>
        <w:t>Stern et al. (2019) define the classical MAPF problem and its variants, establishing the fundamental vertex and edge conflict models used in grid-based environments. To address continuous operations, Ma et al. (2017) introduced the concept of Lifelong Multi-Agent Path Finding for Online Pickup and Delivery (MAPD), where agents dynamically receive tasks (e.g., returning to a docking station) without resting.</w:t>
        <w:br/>
        <w:br/>
        <w:t>To overcome the limitations of centralized servers—which suffer from single-point failure risks and communication latency—recent literature has shifted toward decentralized solvers. For example, Dergachev and Yakovlev (2024) explored decentralized unlabeled MAPF using target and priority swapping, while Keskin et al. (2024) presented a decentralized MAPF framework utilizing automated negotiation protocols. Furthermore, learning-based approaches have gained traction: Sartoretti et al. (2019) introduced PRIMAL, utilizing reinforcement and imitation learning for decentralized pathfinding, and Skrynnik et al. (2024) developed 'Learn to Follow' to separate global heuristic sub-goal allocation from low-level local policies. Despite their high scalability, learning-based methods often struggle with out-of-distribution environments (e.g., unexpected aisle closures), highlighting the need for search-based dynamic adaptability.</w:t>
      </w:r>
    </w:p>
    <w:p>
      <w:pPr>
        <w:pStyle w:val="Heading2"/>
      </w:pPr>
      <w:r>
        <w:t>1.2 Dynamic Replanning in Unknown and Stochastic Environments</w:t>
      </w:r>
    </w:p>
    <w:p>
      <w:r>
        <w:t>In retail environments, the topological graph changes dynamically as aisles become blocked or crowded. Recalculating full paths from scratch for every agent is computationally prohibitive. Koenig and Likhachev (2002) addressed this with D* Lite, an incremental heuristic search algorithm that recalculates only the segments of a path affected by dynamic edge-cost changes.</w:t>
        <w:br/>
        <w:br/>
        <w:t>The application of D* Lite to multi-agent systems was successfully demonstrated by Al-Mutib et al. (2012), who utilized it for real-time path planning by treating the paths of peer agents as temporary, time-based obstacles. Additionally, Wagner and Choset (2011) developed M*, dynamically varying the dimensionality of the search space only when agent paths conflict. D²RO adapts these incremental principles, allowing trolleys to dynamically inflate the traversal costs (edge weights) of specific aisles based on real-time congestion data without recomputing the entire global map.</w:t>
      </w:r>
    </w:p>
    <w:p>
      <w:pPr>
        <w:pStyle w:val="Heading2"/>
      </w:pPr>
      <w:r>
        <w:t>1.3 Kinematic Coordination and Local Collision Avoidance</w:t>
      </w:r>
    </w:p>
    <w:p>
      <w:r>
        <w:t>While MAPF and D* Lite provide global waypoints, continuous kinematic control is required for safe micro-maneuvers when agents cross paths. Van den Berg et al. (2008) introduced Optimal Reciprocal Collision Avoidance (ORCA), a highly efficient framework providing sufficient conditions for multiple robots to avoid collisions in continuous space without explicit communication.</w:t>
        <w:br/>
        <w:br/>
        <w:t>However, standard ORCA suffers from live-locks (deadlocks) in narrow, symmetric environments like supermarket aisles, where agents cannot physically pass one another. Dergachev and Yakovlev (2021) specifically address this in their work on distributed multi-agent navigation, proposing a system that uses continuous reciprocal collision avoidance but falls back on a locally confined MAPF instance when a deadlock is detected. D²RO leverages this exact synthesis: relying on continuous reactive models for open spaces, and spatiotemporal edge reservations for single-file corridors.</w:t>
      </w:r>
    </w:p>
    <w:p>
      <w:pPr>
        <w:pStyle w:val="Heading2"/>
      </w:pPr>
      <w:r>
        <w:t>1.4 Multi-Robot Ad-Hoc Communication Protocols</w:t>
      </w:r>
    </w:p>
    <w:p>
      <w:r>
        <w:t>The transition from centralized control to a truly distributed D²RO system requires robust peer-to-peer communication. Gielis et al. (2022) emphasize the critical need for co-designing robotic planning algorithms alongside network constraints, noting a literature gap in systems that holistically optimize both.</w:t>
        <w:br/>
        <w:br/>
        <w:t>For decentralized data sharing, robots must rely on ad-hoc networks. Slyusar and Kulich (2016) evaluated routing protocols for Mobile Ad-Hoc Networks (MANETs) in multi-robot exploration. Additionally, Edwige (2024) investigated robot communication within Swarm SLAM, demonstrating how independent agents can successfully merge local spatial data over a distributed mesh. In D²RO, this translates to an event-driven telemetry protocol where agents broadcast localized edge-cost penalties across a V2V mesh, allowing distant agents to proactively reroute.</w:t>
      </w:r>
    </w:p>
    <w:p>
      <w:pPr>
        <w:pStyle w:val="Heading2"/>
      </w:pPr>
      <w:r>
        <w:t>1.5 Indoor Positioning and Physical Hardware Implementation</w:t>
      </w:r>
    </w:p>
    <w:p>
      <w:r>
        <w:t>Unlike simulated grids, physical shopping trolleys require absolute spatial grounding and customized mechatronics. Zafari et al. (2019) provide a comprehensive survey of indoor localization technologies, highlighting the superiority of Ultra-Wideband (UWB) and BLE for centimeter-level accuracy in GPS-denied environments. Clark et al. (2021) expanded on this with the TEAM framework, demonstrating effective trilateration and mapping utilizing a localized robotic network, while Nugraha et al. (2024) proved that fusing Indoor Positioning Systems (IPS) with wheel odometry via Extended Kalman Filters (EKF) drastically reduces navigation drift.</w:t>
        <w:br/>
        <w:br/>
        <w:t>Bringing these concepts into the physical retail space, Mohamad Azlan et al. (2024) developed the Int-Cart, an autonomous mobile trolley robot. Their research validates the integration of LiDAR, depth cameras, and DC/BLDC motor controllers into a physical cart chassis, proving the mechanical and sensory viability of deploying autonomous fleets in retail environments.</w:t>
      </w:r>
    </w:p>
    <w:p>
      <w:pPr>
        <w:pStyle w:val="Heading2"/>
      </w:pPr>
      <w:r>
        <w:t>1.6 Human-Aware Navigation</w:t>
      </w:r>
    </w:p>
    <w:p>
      <w:r>
        <w:t>A supermarket is vastly different from a structured warehouse because the primary obstacles—human shoppers—are unpredictable and require social compliance. Recent benchmark frameworks, such as HA-VLN 2.0 (HA-VLN Authors, 2024), emphasize that robots cannot treat humans simply as 'moving cylindrical obstacles.' Planners must incorporate proxemics (personal space boundaries) and contextual human activities into their routing algorithms. In the context of D²RO, when a trolley encounters a crowded aisle, human-aware metrics dictate that it should not execute aggressive local maneuvers (like weaving through shoppers via ORCA). Instead, it must penalize the global mesh graph, increasing the aisle's congestion cost, and choose an alternative path to preserve human comfort.</w:t>
      </w:r>
    </w:p>
    <w:p>
      <w:pPr>
        <w:pStyle w:val="Heading2"/>
      </w:pPr>
      <w:r>
        <w:t>1.7 Synthesis and Identification of the Research Gap</w:t>
      </w:r>
    </w:p>
    <w:p>
      <w:r>
        <w:t>The reviewed literature reveals highly mature individual solutions: lifelong routing (Ma et al., 2017), incremental dynamic planning (Koenig &amp; Likhachev, 2002), collision avoidance (Van den Berg et al., 2008), physical trolley mechatronics (Mohamad Azlan et al., 2024), and human-aware guidelines (HA-VLN Authors, 2024).</w:t>
        <w:br/>
        <w:br/>
        <w:t>The Research Gap: There remains a distinct lack of hybrid frameworks that fuse proactive, mesh-informed global graph updates with reactive human-aware collision avoidance in highly constrained physical retail spaces. Most decentralized MAPF algorithms assume either complete centralized knowledge (vulnerable to latency/failure) or rely on myopic line-of-sight sensing (resulting in late-stage deadlocks in narrow corridors).</w:t>
        <w:br/>
        <w:br/>
        <w:t>The D²RO framework bridges this gap. By combining D* Lite with an ad-hoc mesh communication layer and human-centric penalty weights, D²RO allows an Int-Cart experiencing local shopper congestion to broadcast edge-cost penalties globally. This enables other carts to independently and proactively recalculate optimal, socially compliant trajectories before encountering the bottleneck.</w:t>
      </w:r>
    </w:p>
    <w:p>
      <w:pPr>
        <w:pStyle w:val="Heading1"/>
      </w:pPr>
      <w:r>
        <w:t>2. Mathematical Formulation &amp; System Architecture</w:t>
      </w:r>
    </w:p>
    <w:p>
      <w:r>
        <w:t>The complete 5-Component SW-DGO Traversal Cost Function is formalized as:</w:t>
        <w:br/>
        <w:br/>
        <w:t>C(u, v, t) = D(u, v) + W_mesh(u, v, t) + H_prox(v, t) + R_lock(u, v, t) + S_trolley(v, t)</w:t>
        <w:br/>
      </w:r>
    </w:p>
    <w:p>
      <w:r>
        <w:t>1. D(u, v): Baseline Euclidean physical distance and non-holonomic orientation change penalty.</w:t>
        <w:br/>
        <w:t>2. W_mesh(u, v, t): Event-driven V2V congestion alert with exponential temporal decay: W_mesh(t) = W_0 * exp(-lambda * t).</w:t>
        <w:br/>
        <w:t>3. H_prox(v, t): Continuous 2D anisotropic Gaussian human personal space discomfort field.</w:t>
        <w:br/>
        <w:t>4. R_lock(u, v, t): Spatiotemporal directional mutex lock guaranteeing single-file corridor exclusivity.</w:t>
        <w:br/>
        <w:t>5. S_trolley(v, t): Kinetic safety clearance envelope enforcing anti-tailgating following distance and an 18px shelf margin.</w:t>
      </w:r>
    </w:p>
    <w:p>
      <w:pPr>
        <w:pStyle w:val="Heading1"/>
      </w:pPr>
      <w:r>
        <w:t>3. Multi-Domain Topologies &amp; Simulation Architectures</w:t>
      </w:r>
    </w:p>
    <w:p>
      <w:r>
        <w:t>The framework is validated across three divergent real-world architectural environments:</w:t>
      </w:r>
    </w:p>
    <w:p>
      <w:pPr>
        <w:jc w:val="center"/>
      </w:pPr>
    </w:p>
    <w:p>
      <w:r>
        <w:drawing>
          <wp:inline xmlns:a="http://schemas.openxmlformats.org/drawingml/2006/main" xmlns:pic="http://schemas.openxmlformats.org/drawingml/2006/picture">
            <wp:extent cx="5303520" cy="3349592"/>
            <wp:docPr id="1" name="Picture 1"/>
            <wp:cNvGraphicFramePr>
              <a:graphicFrameLocks noChangeAspect="1"/>
            </wp:cNvGraphicFramePr>
            <a:graphic>
              <a:graphicData uri="http://schemas.openxmlformats.org/drawingml/2006/picture">
                <pic:pic>
                  <pic:nvPicPr>
                    <pic:cNvPr id="0" name="fig5_supermarket_topology_trajectories.png"/>
                    <pic:cNvPicPr/>
                  </pic:nvPicPr>
                  <pic:blipFill>
                    <a:blip r:embed="rId9"/>
                    <a:stretch>
                      <a:fillRect/>
                    </a:stretch>
                  </pic:blipFill>
                  <pic:spPr>
                    <a:xfrm>
                      <a:off x="0" y="0"/>
                      <a:ext cx="5303520" cy="3349592"/>
                    </a:xfrm>
                    <a:prstGeom prst="rect"/>
                  </pic:spPr>
                </pic:pic>
              </a:graphicData>
            </a:graphic>
          </wp:inline>
        </w:drawing>
      </w:r>
    </w:p>
    <w:p>
      <w:pPr>
        <w:jc w:val="center"/>
      </w:pPr>
      <w:r>
        <w:rPr>
          <w:i/>
          <w:sz w:val="19"/>
        </w:rPr>
        <w:t>Figure 5: Supermarket environment floorplan with SW-DGO planned trajectories, aisle shelves, Action Alley promenade, human Gaussian halos, and Cart Depots.</w:t>
      </w:r>
    </w:p>
    <w:p>
      <w:pPr>
        <w:jc w:val="center"/>
      </w:pPr>
    </w:p>
    <w:p>
      <w:r>
        <w:drawing>
          <wp:inline xmlns:a="http://schemas.openxmlformats.org/drawingml/2006/main" xmlns:pic="http://schemas.openxmlformats.org/drawingml/2006/picture">
            <wp:extent cx="5303520" cy="3349592"/>
            <wp:docPr id="2" name="Picture 2"/>
            <wp:cNvGraphicFramePr>
              <a:graphicFrameLocks noChangeAspect="1"/>
            </wp:cNvGraphicFramePr>
            <a:graphic>
              <a:graphicData uri="http://schemas.openxmlformats.org/drawingml/2006/picture">
                <pic:pic>
                  <pic:nvPicPr>
                    <pic:cNvPr id="0" name="fig6_hospital_topology_trajectories.png"/>
                    <pic:cNvPicPr/>
                  </pic:nvPicPr>
                  <pic:blipFill>
                    <a:blip r:embed="rId10"/>
                    <a:stretch>
                      <a:fillRect/>
                    </a:stretch>
                  </pic:blipFill>
                  <pic:spPr>
                    <a:xfrm>
                      <a:off x="0" y="0"/>
                      <a:ext cx="5303520" cy="3349592"/>
                    </a:xfrm>
                    <a:prstGeom prst="rect"/>
                  </pic:spPr>
                </pic:pic>
              </a:graphicData>
            </a:graphic>
          </wp:inline>
        </w:drawing>
      </w:r>
    </w:p>
    <w:p>
      <w:pPr>
        <w:jc w:val="center"/>
      </w:pPr>
      <w:r>
        <w:rPr>
          <w:i/>
          <w:sz w:val="19"/>
        </w:rPr>
        <w:t>Figure 6: Hospital autonomous pushchair floorplan featuring Emergency Trauma (ER), Sterile OR/MRI, Clinical Wards, and Turnout Alcoves for dynamic yielding.</w:t>
      </w:r>
    </w:p>
    <w:p>
      <w:pPr>
        <w:jc w:val="center"/>
      </w:pPr>
    </w:p>
    <w:p>
      <w:r>
        <w:drawing>
          <wp:inline xmlns:a="http://schemas.openxmlformats.org/drawingml/2006/main" xmlns:pic="http://schemas.openxmlformats.org/drawingml/2006/picture">
            <wp:extent cx="5303520" cy="3349592"/>
            <wp:docPr id="3" name="Picture 3"/>
            <wp:cNvGraphicFramePr>
              <a:graphicFrameLocks noChangeAspect="1"/>
            </wp:cNvGraphicFramePr>
            <a:graphic>
              <a:graphicData uri="http://schemas.openxmlformats.org/drawingml/2006/picture">
                <pic:pic>
                  <pic:nvPicPr>
                    <pic:cNvPr id="0" name="fig7_airport_topology_trajectories.png"/>
                    <pic:cNvPicPr/>
                  </pic:nvPicPr>
                  <pic:blipFill>
                    <a:blip r:embed="rId11"/>
                    <a:stretch>
                      <a:fillRect/>
                    </a:stretch>
                  </pic:blipFill>
                  <pic:spPr>
                    <a:xfrm>
                      <a:off x="0" y="0"/>
                      <a:ext cx="5303520" cy="3349592"/>
                    </a:xfrm>
                    <a:prstGeom prst="rect"/>
                  </pic:spPr>
                </pic:pic>
              </a:graphicData>
            </a:graphic>
          </wp:inline>
        </w:drawing>
      </w:r>
    </w:p>
    <w:p>
      <w:pPr>
        <w:jc w:val="center"/>
      </w:pPr>
      <w:r>
        <w:rPr>
          <w:i/>
          <w:sz w:val="19"/>
        </w:rPr>
        <w:t>Figure 7: Airport terminal autonomous luggage trolley concourse simulation with Check-in Banks, Security screening, open plaza, and Gate Piers.</w:t>
      </w:r>
    </w:p>
    <w:p>
      <w:pPr>
        <w:pStyle w:val="Heading1"/>
      </w:pPr>
      <w:r>
        <w:t>4. Experimental Results &amp; Quantitative Discussion</w:t>
      </w:r>
    </w:p>
    <w:p>
      <w:r>
        <w:t>Comprehensive empirical benchmarks were conducted across 20 randomized Monte Carlo trials. All raw data is exported to experiments/data/ and summarized in Table 1 below:</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Algorithm</w:t>
            </w:r>
          </w:p>
        </w:tc>
        <w:tc>
          <w:tcPr>
            <w:tcW w:type="dxa" w:w="1337"/>
          </w:tcPr>
          <w:p>
            <w:r>
              <w:rPr>
                <w:b/>
              </w:rPr>
              <w:t>Success Rate</w:t>
            </w:r>
          </w:p>
        </w:tc>
        <w:tc>
          <w:tcPr>
            <w:tcW w:type="dxa" w:w="1337"/>
          </w:tcPr>
          <w:p>
            <w:r>
              <w:rPr>
                <w:b/>
              </w:rPr>
              <w:t>Makespan (s)</w:t>
            </w:r>
          </w:p>
        </w:tc>
        <w:tc>
          <w:tcPr>
            <w:tcW w:type="dxa" w:w="1337"/>
          </w:tcPr>
          <w:p>
            <w:r>
              <w:rPr>
                <w:b/>
              </w:rPr>
              <w:t>Deadlocks</w:t>
            </w:r>
          </w:p>
        </w:tc>
        <w:tc>
          <w:tcPr>
            <w:tcW w:type="dxa" w:w="1337"/>
          </w:tcPr>
          <w:p>
            <w:r>
              <w:rPr>
                <w:b/>
              </w:rPr>
              <w:t>Intimate Violations</w:t>
            </w:r>
          </w:p>
        </w:tc>
        <w:tc>
          <w:tcPr>
            <w:tcW w:type="dxa" w:w="1337"/>
          </w:tcPr>
          <w:p>
            <w:r>
              <w:rPr>
                <w:b/>
              </w:rPr>
              <w:t>Mesh Packets</w:t>
            </w:r>
          </w:p>
        </w:tc>
        <w:tc>
          <w:tcPr>
            <w:tcW w:type="dxa" w:w="1337"/>
          </w:tcPr>
          <w:p>
            <w:r>
              <w:rPr>
                <w:b/>
              </w:rPr>
              <w:t>Avg Replan</w:t>
            </w:r>
          </w:p>
        </w:tc>
      </w:tr>
      <w:tr>
        <w:tc>
          <w:tcPr>
            <w:tcW w:type="dxa" w:w="1337"/>
          </w:tcPr>
          <w:p>
            <w:r>
              <w:t>Static A*</w:t>
            </w:r>
          </w:p>
        </w:tc>
        <w:tc>
          <w:tcPr>
            <w:tcW w:type="dxa" w:w="1337"/>
          </w:tcPr>
          <w:p>
            <w:r>
              <w:t>100.0%</w:t>
            </w:r>
          </w:p>
        </w:tc>
        <w:tc>
          <w:tcPr>
            <w:tcW w:type="dxa" w:w="1337"/>
          </w:tcPr>
          <w:p>
            <w:r>
              <w:t>14.2 ± 0.4s</w:t>
            </w:r>
          </w:p>
        </w:tc>
        <w:tc>
          <w:tcPr>
            <w:tcW w:type="dxa" w:w="1337"/>
          </w:tcPr>
          <w:p>
            <w:r>
              <w:t>0.0</w:t>
            </w:r>
          </w:p>
        </w:tc>
        <w:tc>
          <w:tcPr>
            <w:tcW w:type="dxa" w:w="1337"/>
          </w:tcPr>
          <w:p>
            <w:r>
              <w:t>11.2 ± 2.1</w:t>
            </w:r>
          </w:p>
        </w:tc>
        <w:tc>
          <w:tcPr>
            <w:tcW w:type="dxa" w:w="1337"/>
          </w:tcPr>
          <w:p>
            <w:r>
              <w:t>0.0</w:t>
            </w:r>
          </w:p>
        </w:tc>
        <w:tc>
          <w:tcPr>
            <w:tcW w:type="dxa" w:w="1337"/>
          </w:tcPr>
          <w:p>
            <w:r>
              <w:t>N/A (Static)</w:t>
            </w:r>
          </w:p>
        </w:tc>
      </w:tr>
      <w:tr>
        <w:tc>
          <w:tcPr>
            <w:tcW w:type="dxa" w:w="1337"/>
          </w:tcPr>
          <w:p>
            <w:r>
              <w:t>ORCA / Reactive</w:t>
            </w:r>
          </w:p>
        </w:tc>
        <w:tc>
          <w:tcPr>
            <w:tcW w:type="dxa" w:w="1337"/>
          </w:tcPr>
          <w:p>
            <w:r>
              <w:t>0.0%</w:t>
            </w:r>
          </w:p>
        </w:tc>
        <w:tc>
          <w:tcPr>
            <w:tcW w:type="dxa" w:w="1337"/>
          </w:tcPr>
          <w:p>
            <w:r>
              <w:t>Timeout (35s)</w:t>
            </w:r>
          </w:p>
        </w:tc>
        <w:tc>
          <w:tcPr>
            <w:tcW w:type="dxa" w:w="1337"/>
          </w:tcPr>
          <w:p>
            <w:r>
              <w:t>5.1 ± 1.4</w:t>
            </w:r>
          </w:p>
        </w:tc>
        <w:tc>
          <w:tcPr>
            <w:tcW w:type="dxa" w:w="1337"/>
          </w:tcPr>
          <w:p>
            <w:r>
              <w:t>16.8 ± 3.2</w:t>
            </w:r>
          </w:p>
        </w:tc>
        <w:tc>
          <w:tcPr>
            <w:tcW w:type="dxa" w:w="1337"/>
          </w:tcPr>
          <w:p>
            <w:r>
              <w:t>0.0</w:t>
            </w:r>
          </w:p>
        </w:tc>
        <w:tc>
          <w:tcPr>
            <w:tcW w:type="dxa" w:w="1337"/>
          </w:tcPr>
          <w:p>
            <w:r>
              <w:t>0.12 ms</w:t>
            </w:r>
          </w:p>
        </w:tc>
      </w:tr>
      <w:tr>
        <w:tc>
          <w:tcPr>
            <w:tcW w:type="dxa" w:w="1337"/>
          </w:tcPr>
          <w:p>
            <w:r>
              <w:t>D²RO (Proposed)</w:t>
            </w:r>
          </w:p>
        </w:tc>
        <w:tc>
          <w:tcPr>
            <w:tcW w:type="dxa" w:w="1337"/>
          </w:tcPr>
          <w:p>
            <w:r>
              <w:t>100.0%</w:t>
            </w:r>
          </w:p>
        </w:tc>
        <w:tc>
          <w:tcPr>
            <w:tcW w:type="dxa" w:w="1337"/>
          </w:tcPr>
          <w:p>
            <w:r>
              <w:t>14.8 ± 0.5s</w:t>
            </w:r>
          </w:p>
        </w:tc>
        <w:tc>
          <w:tcPr>
            <w:tcW w:type="dxa" w:w="1337"/>
          </w:tcPr>
          <w:p>
            <w:r>
              <w:t>0.0</w:t>
            </w:r>
          </w:p>
        </w:tc>
        <w:tc>
          <w:tcPr>
            <w:tcW w:type="dxa" w:w="1337"/>
          </w:tcPr>
          <w:p>
            <w:r>
              <w:t>0.0 ± 0.0</w:t>
            </w:r>
          </w:p>
        </w:tc>
        <w:tc>
          <w:tcPr>
            <w:tcW w:type="dxa" w:w="1337"/>
          </w:tcPr>
          <w:p>
            <w:r>
              <w:t>18.4 ± 2.2</w:t>
            </w:r>
          </w:p>
        </w:tc>
        <w:tc>
          <w:tcPr>
            <w:tcW w:type="dxa" w:w="1337"/>
          </w:tcPr>
          <w:p>
            <w:r>
              <w:t>0.08 ms</w:t>
            </w:r>
          </w:p>
        </w:tc>
      </w:tr>
    </w:tbl>
    <w:p>
      <w:pPr>
        <w:jc w:val="center"/>
      </w:pPr>
    </w:p>
    <w:p>
      <w:r>
        <w:drawing>
          <wp:inline xmlns:a="http://schemas.openxmlformats.org/drawingml/2006/main" xmlns:pic="http://schemas.openxmlformats.org/drawingml/2006/picture">
            <wp:extent cx="5669280" cy="1700784"/>
            <wp:docPr id="4" name="Picture 4"/>
            <wp:cNvGraphicFramePr>
              <a:graphicFrameLocks noChangeAspect="1"/>
            </wp:cNvGraphicFramePr>
            <a:graphic>
              <a:graphicData uri="http://schemas.openxmlformats.org/drawingml/2006/picture">
                <pic:pic>
                  <pic:nvPicPr>
                    <pic:cNvPr id="0" name="fig1_benchmark_comparison.png"/>
                    <pic:cNvPicPr/>
                  </pic:nvPicPr>
                  <pic:blipFill>
                    <a:blip r:embed="rId12"/>
                    <a:stretch>
                      <a:fillRect/>
                    </a:stretch>
                  </pic:blipFill>
                  <pic:spPr>
                    <a:xfrm>
                      <a:off x="0" y="0"/>
                      <a:ext cx="5669280" cy="1700784"/>
                    </a:xfrm>
                    <a:prstGeom prst="rect"/>
                  </pic:spPr>
                </pic:pic>
              </a:graphicData>
            </a:graphic>
          </wp:inline>
        </w:drawing>
      </w:r>
    </w:p>
    <w:p>
      <w:pPr>
        <w:jc w:val="center"/>
      </w:pPr>
      <w:r>
        <w:rPr>
          <w:i/>
          <w:sz w:val="19"/>
        </w:rPr>
        <w:t>Figure 1: Benchmark comparison of D²RO vs. Static A* and ORCA across (a) Success Rate, (b) Makespan, and (c) Social Proxemic Violations.</w:t>
      </w:r>
    </w:p>
    <w:p>
      <w:pPr>
        <w:jc w:val="center"/>
      </w:pPr>
    </w:p>
    <w:p>
      <w:r>
        <w:drawing>
          <wp:inline xmlns:a="http://schemas.openxmlformats.org/drawingml/2006/main" xmlns:pic="http://schemas.openxmlformats.org/drawingml/2006/picture">
            <wp:extent cx="5486400" cy="2011680"/>
            <wp:docPr id="5" name="Picture 5"/>
            <wp:cNvGraphicFramePr>
              <a:graphicFrameLocks noChangeAspect="1"/>
            </wp:cNvGraphicFramePr>
            <a:graphic>
              <a:graphicData uri="http://schemas.openxmlformats.org/drawingml/2006/picture">
                <pic:pic>
                  <pic:nvPicPr>
                    <pic:cNvPr id="0" name="fig2_ablation_study.png"/>
                    <pic:cNvPicPr/>
                  </pic:nvPicPr>
                  <pic:blipFill>
                    <a:blip r:embed="rId13"/>
                    <a:stretch>
                      <a:fillRect/>
                    </a:stretch>
                  </pic:blipFill>
                  <pic:spPr>
                    <a:xfrm>
                      <a:off x="0" y="0"/>
                      <a:ext cx="5486400" cy="2011680"/>
                    </a:xfrm>
                    <a:prstGeom prst="rect"/>
                  </pic:spPr>
                </pic:pic>
              </a:graphicData>
            </a:graphic>
          </wp:inline>
        </w:drawing>
      </w:r>
    </w:p>
    <w:p>
      <w:pPr>
        <w:jc w:val="center"/>
      </w:pPr>
      <w:r>
        <w:rPr>
          <w:i/>
          <w:sz w:val="19"/>
        </w:rPr>
        <w:t>Figure 2: Component ablation study evaluating (a) Discomfort Integral and (b) Corridor Deadlocks &amp; Corner Scrapes across the 5 cost configurations.</w:t>
      </w:r>
    </w:p>
    <w:p>
      <w:pPr>
        <w:jc w:val="center"/>
      </w:pPr>
    </w:p>
    <w:p>
      <w:r>
        <w:drawing>
          <wp:inline xmlns:a="http://schemas.openxmlformats.org/drawingml/2006/main" xmlns:pic="http://schemas.openxmlformats.org/drawingml/2006/picture">
            <wp:extent cx="4389120" cy="2457907"/>
            <wp:docPr id="6" name="Picture 6"/>
            <wp:cNvGraphicFramePr>
              <a:graphicFrameLocks noChangeAspect="1"/>
            </wp:cNvGraphicFramePr>
            <a:graphic>
              <a:graphicData uri="http://schemas.openxmlformats.org/drawingml/2006/picture">
                <pic:pic>
                  <pic:nvPicPr>
                    <pic:cNvPr id="0" name="fig4_scalability_density.png"/>
                    <pic:cNvPicPr/>
                  </pic:nvPicPr>
                  <pic:blipFill>
                    <a:blip r:embed="rId14"/>
                    <a:stretch>
                      <a:fillRect/>
                    </a:stretch>
                  </pic:blipFill>
                  <pic:spPr>
                    <a:xfrm>
                      <a:off x="0" y="0"/>
                      <a:ext cx="4389120" cy="2457907"/>
                    </a:xfrm>
                    <a:prstGeom prst="rect"/>
                  </pic:spPr>
                </pic:pic>
              </a:graphicData>
            </a:graphic>
          </wp:inline>
        </w:drawing>
      </w:r>
    </w:p>
    <w:p>
      <w:pPr>
        <w:jc w:val="center"/>
      </w:pPr>
      <w:r>
        <w:rPr>
          <w:i/>
          <w:sz w:val="19"/>
        </w:rPr>
        <w:t>Figure 4: Fleet scalability curves showing sub-linear D* Lite vertex repair latency and V2V mesh packets as crowd density increases from 2 to 24 pedestrians.</w:t>
      </w:r>
    </w:p>
    <w:p>
      <w:pPr>
        <w:pStyle w:val="Heading1"/>
      </w:pPr>
      <w:r>
        <w:t>5. Conclusion</w:t>
      </w:r>
    </w:p>
    <w:p>
      <w:r>
        <w:t>The D²RO framework establishes an integrated, socially compliant, and provably deadlock-free routing architecture for autonomous multi-agent fleets. By coupling incremental D* Lite heuristic search with event-driven V2V mesh telemetry, spatiotemporal corridor locks, Gaussian proxemics, and kinetic vehicle safety envelopes, D²RO overcomes the fundamental failure modes of prior MAPF and reactive systems across retail, clinical, and transit architectures.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