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595959"/>
          <w:sz w:val="20"/>
          <w:szCs w:val="20"/>
        </w:rPr>
        <w:t xml:space="preserve">SCIENTIFIC RESEARCH CENTER, SALAHADDIN UNIVERSITY-ERBIL</w:t>
      </w:r>
    </w:p>
    <w:p>
      <w:pPr>
        <w:spacing w:after="40"/>
        <w:jc w:val="center"/>
      </w:pPr>
      <w:r>
        <w:rPr>
          <w:color w:val="595959"/>
          <w:sz w:val="20"/>
          <w:szCs w:val="20"/>
        </w:rPr>
        <w:t xml:space="preserve">Environmental Monitoring &amp; Climate Change Unit (EMCCU)</w:t>
      </w:r>
    </w:p>
    <w:p>
      <w:pPr>
        <w:spacing w:after="300"/>
        <w:jc w:val="center"/>
      </w:pPr>
      <w:r>
        <w:rPr>
          <w:b/>
          <w:bCs/>
          <w:i/>
          <w:iCs/>
          <w:color w:val="595959"/>
          <w:sz w:val="20"/>
          <w:szCs w:val="20"/>
        </w:rPr>
        <w:t xml:space="preserve">Job Description</w:t>
      </w:r>
    </w:p>
    <w:p>
      <w:pPr>
        <w:spacing w:after="40"/>
        <w:jc w:val="center"/>
      </w:pPr>
      <w:r>
        <w:rPr>
          <w:b/>
          <w:bCs/>
          <w:color w:val="1F3864"/>
          <w:sz w:val="32"/>
          <w:szCs w:val="32"/>
        </w:rPr>
        <w:t xml:space="preserve">Asst. Prof. Dr. Huner Khayyat</w:t>
      </w:r>
    </w:p>
    <w:p>
      <w:pPr>
        <w:spacing w:after="300"/>
        <w:jc w:val="center"/>
      </w:pPr>
      <w:r>
        <w:rPr>
          <w:i/>
          <w:iCs/>
          <w:color w:val="1A6B6B"/>
          <w:sz w:val="22"/>
          <w:szCs w:val="22"/>
        </w:rPr>
        <w:t xml:space="preserve">Head, Environmental Monitoring &amp; Climate Change Unit (EMCCU)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6F6" w:val="clear"/>
            <w:tcMar>
              <w:top w:type="dxa" w:w="90"/>
              <w:left w:type="dxa" w:w="120"/>
              <w:bottom w:type="dxa" w:w="90"/>
              <w:right w:type="dxa" w:w="120"/>
            </w:tcMar>
          </w:tcPr>
          <w:p>
            <w:r>
              <w:rPr>
                <w:b/>
                <w:bCs/>
                <w:color w:val="1F3864"/>
                <w:sz w:val="20"/>
                <w:szCs w:val="20"/>
              </w:rPr>
              <w:t xml:space="preserve">Position</w:t>
            </w:r>
          </w:p>
        </w:tc>
        <w:tc>
          <w:tcPr>
            <w:tcW w:type="dxa" w:w="6900"/>
            <w:tcMar>
              <w:top w:type="dxa" w:w="90"/>
              <w:left w:type="dxa" w:w="120"/>
              <w:bottom w:type="dxa" w:w="90"/>
              <w:right w:type="dxa" w:w="120"/>
            </w:tcMar>
          </w:tcPr>
          <w:p>
            <w:r>
              <w:rPr>
                <w:sz w:val="20"/>
                <w:szCs w:val="20"/>
              </w:rPr>
              <w:t xml:space="preserve">Head, Environmental Monitoring &amp; Climate Change Unit (EMCCU)</w:t>
            </w:r>
          </w:p>
        </w:tc>
      </w:tr>
      <w:tr>
        <w:tc>
          <w:tcPr>
            <w:tcW w:type="dxa" w:w="2600"/>
            <w:shd w:fill="F2F6F6" w:val="clear"/>
            <w:tcMar>
              <w:top w:type="dxa" w:w="90"/>
              <w:left w:type="dxa" w:w="120"/>
              <w:bottom w:type="dxa" w:w="90"/>
              <w:right w:type="dxa" w:w="120"/>
            </w:tcMar>
          </w:tcPr>
          <w:p>
            <w:r>
              <w:rPr>
                <w:b/>
                <w:bCs/>
                <w:color w:val="1F3864"/>
                <w:sz w:val="20"/>
                <w:szCs w:val="20"/>
              </w:rPr>
              <w:t xml:space="preserve">Unit / Center</w:t>
            </w:r>
          </w:p>
        </w:tc>
        <w:tc>
          <w:tcPr>
            <w:tcW w:type="dxa" w:w="6900"/>
            <w:tcMar>
              <w:top w:type="dxa" w:w="90"/>
              <w:left w:type="dxa" w:w="120"/>
              <w:bottom w:type="dxa" w:w="90"/>
              <w:right w:type="dxa" w:w="120"/>
            </w:tcMar>
          </w:tcPr>
          <w:p>
            <w:r>
              <w:rPr>
                <w:sz w:val="20"/>
                <w:szCs w:val="20"/>
              </w:rPr>
              <w:t xml:space="preserve">Scientific Research Center, Salahaddin University-Erbil</w:t>
            </w:r>
          </w:p>
        </w:tc>
      </w:tr>
      <w:tr>
        <w:tc>
          <w:tcPr>
            <w:tcW w:type="dxa" w:w="2600"/>
            <w:shd w:fill="F2F6F6" w:val="clear"/>
            <w:tcMar>
              <w:top w:type="dxa" w:w="90"/>
              <w:left w:type="dxa" w:w="120"/>
              <w:bottom w:type="dxa" w:w="90"/>
              <w:right w:type="dxa" w:w="120"/>
            </w:tcMar>
          </w:tcPr>
          <w:p>
            <w:r>
              <w:rPr>
                <w:b/>
                <w:bCs/>
                <w:color w:val="1F3864"/>
                <w:sz w:val="20"/>
                <w:szCs w:val="20"/>
              </w:rPr>
              <w:t xml:space="preserve">Qualification</w:t>
            </w:r>
          </w:p>
        </w:tc>
        <w:tc>
          <w:tcPr>
            <w:tcW w:type="dxa" w:w="6900"/>
            <w:tcMar>
              <w:top w:type="dxa" w:w="90"/>
              <w:left w:type="dxa" w:w="120"/>
              <w:bottom w:type="dxa" w:w="90"/>
              <w:right w:type="dxa" w:w="120"/>
            </w:tcMar>
          </w:tcPr>
          <w:p>
            <w:r>
              <w:rPr>
                <w:sz w:val="20"/>
                <w:szCs w:val="20"/>
              </w:rPr>
              <w:t xml:space="preserve">Ph.D., GIS and Remote Sensing (Climate Change focus)</w:t>
            </w:r>
          </w:p>
        </w:tc>
      </w:tr>
      <w:tr>
        <w:tc>
          <w:tcPr>
            <w:tcW w:type="dxa" w:w="2600"/>
            <w:shd w:fill="F2F6F6" w:val="clear"/>
            <w:tcMar>
              <w:top w:type="dxa" w:w="90"/>
              <w:left w:type="dxa" w:w="120"/>
              <w:bottom w:type="dxa" w:w="90"/>
              <w:right w:type="dxa" w:w="120"/>
            </w:tcMar>
          </w:tcPr>
          <w:p>
            <w:r>
              <w:rPr>
                <w:b/>
                <w:bCs/>
                <w:color w:val="1F3864"/>
                <w:sz w:val="20"/>
                <w:szCs w:val="20"/>
              </w:rPr>
              <w:t xml:space="preserve">Reports to</w:t>
            </w:r>
          </w:p>
        </w:tc>
        <w:tc>
          <w:tcPr>
            <w:tcW w:type="dxa" w:w="6900"/>
            <w:tcMar>
              <w:top w:type="dxa" w:w="90"/>
              <w:left w:type="dxa" w:w="120"/>
              <w:bottom w:type="dxa" w:w="90"/>
              <w:right w:type="dxa" w:w="120"/>
            </w:tcMar>
          </w:tcPr>
          <w:p>
            <w:r>
              <w:rPr>
                <w:sz w:val="20"/>
                <w:szCs w:val="20"/>
              </w:rPr>
              <w:t xml:space="preserve">Director General, Scientific Research Center</w:t>
            </w:r>
          </w:p>
        </w:tc>
      </w:tr>
    </w:tbl>
    <w:p>
      <w:pPr>
        <w:pStyle w:val="Heading2"/>
        <w:spacing w:after="100" w:before="220"/>
      </w:pPr>
      <w:r>
        <w:rPr>
          <w:b/>
          <w:bCs/>
          <w:color w:val="1A6B6B"/>
          <w:sz w:val="23"/>
          <w:szCs w:val="23"/>
        </w:rPr>
        <w:t xml:space="preserve">Purpose of the Role</w:t>
      </w:r>
    </w:p>
    <w:p>
      <w:pPr>
        <w:spacing w:after="140" w:line="276"/>
        <w:jc w:val="both"/>
      </w:pPr>
      <w:r>
        <w:rPr>
          <w:sz w:val="21"/>
          <w:szCs w:val="21"/>
        </w:rPr>
        <w:t xml:space="preserve">The Head of EMCCU provides overall scientific and strategic leadership for the Unit, directing its research agenda, government and international partnerships, and institutional development, while personally leading advanced research on climate change, environmental monitoring, and geospatial data science.</w:t>
      </w:r>
    </w:p>
    <w:p>
      <w:pPr>
        <w:pStyle w:val="Heading2"/>
        <w:spacing w:after="100" w:before="220"/>
      </w:pPr>
      <w:r>
        <w:rPr>
          <w:b/>
          <w:bCs/>
          <w:color w:val="1A6B6B"/>
          <w:sz w:val="23"/>
          <w:szCs w:val="23"/>
        </w:rPr>
        <w:t xml:space="preserve">Key Responsibilities</w:t>
      </w:r>
    </w:p>
    <w:p>
      <w:pPr>
        <w:pStyle w:val="ListParagraph"/>
        <w:numPr>
          <w:ilvl w:val="0"/>
          <w:numId w:val="2"/>
        </w:numPr>
        <w:spacing w:after="80"/>
      </w:pPr>
      <w:r>
        <w:rPr>
          <w:sz w:val="21"/>
          <w:szCs w:val="21"/>
        </w:rPr>
        <w:t xml:space="preserve">Set and oversee the Unit's strategic direction, research priorities, and annual activity plans, aligning them with University and government priorities.</w:t>
      </w:r>
    </w:p>
    <w:p>
      <w:pPr>
        <w:pStyle w:val="ListParagraph"/>
        <w:numPr>
          <w:ilvl w:val="0"/>
          <w:numId w:val="2"/>
        </w:numPr>
        <w:spacing w:after="80"/>
      </w:pPr>
      <w:r>
        <w:rPr>
          <w:sz w:val="21"/>
          <w:szCs w:val="21"/>
        </w:rPr>
        <w:t xml:space="preserve">Lead original research on climate change and environmental monitoring, applying geospatial analysis, climate and environmental datasets, and advanced analytical and modelling methods.</w:t>
      </w:r>
    </w:p>
    <w:p>
      <w:pPr>
        <w:pStyle w:val="ListParagraph"/>
        <w:numPr>
          <w:ilvl w:val="0"/>
          <w:numId w:val="2"/>
        </w:numPr>
        <w:spacing w:after="80"/>
      </w:pPr>
      <w:r>
        <w:rPr>
          <w:sz w:val="21"/>
          <w:szCs w:val="21"/>
        </w:rPr>
        <w:t xml:space="preserve">Design and oversee the production of professional geospatial dashboards and data-visualization products for academic, media, and governmental audiences.</w:t>
      </w:r>
    </w:p>
    <w:p>
      <w:pPr>
        <w:pStyle w:val="ListParagraph"/>
        <w:numPr>
          <w:ilvl w:val="0"/>
          <w:numId w:val="2"/>
        </w:numPr>
        <w:spacing w:after="80"/>
      </w:pPr>
      <w:r>
        <w:rPr>
          <w:sz w:val="21"/>
          <w:szCs w:val="21"/>
        </w:rPr>
        <w:t xml:space="preserve">Serve as principal advisor to government bodies, preparing technical and scientific reviews of draft environmental legislation and high-level policy reports.</w:t>
      </w:r>
    </w:p>
    <w:p>
      <w:pPr>
        <w:pStyle w:val="ListParagraph"/>
        <w:numPr>
          <w:ilvl w:val="0"/>
          <w:numId w:val="2"/>
        </w:numPr>
        <w:spacing w:after="80"/>
      </w:pPr>
      <w:r>
        <w:rPr>
          <w:sz w:val="21"/>
          <w:szCs w:val="21"/>
        </w:rPr>
        <w:t xml:space="preserve">Organize and lead scientific symposia, seminars, and conferences in cooperation with governmental and international partners, including multilingual programming as needed.</w:t>
      </w:r>
    </w:p>
    <w:p>
      <w:pPr>
        <w:pStyle w:val="ListParagraph"/>
        <w:numPr>
          <w:ilvl w:val="0"/>
          <w:numId w:val="2"/>
        </w:numPr>
        <w:spacing w:after="80"/>
      </w:pPr>
      <w:r>
        <w:rPr>
          <w:sz w:val="21"/>
          <w:szCs w:val="21"/>
        </w:rPr>
        <w:t xml:space="preserve">Lead the establishment and stewardship of scientific publishing initiatives, including editorial and institutional-approval processes and international academic partnerships.</w:t>
      </w:r>
    </w:p>
    <w:p>
      <w:pPr>
        <w:pStyle w:val="ListParagraph"/>
        <w:numPr>
          <w:ilvl w:val="0"/>
          <w:numId w:val="2"/>
        </w:numPr>
        <w:spacing w:after="80"/>
      </w:pPr>
      <w:r>
        <w:rPr>
          <w:sz w:val="21"/>
          <w:szCs w:val="21"/>
        </w:rPr>
        <w:t xml:space="preserve">Develop capacity-building programs, including structured technical training for students, staff, and government partners.</w:t>
      </w:r>
    </w:p>
    <w:p>
      <w:pPr>
        <w:pStyle w:val="ListParagraph"/>
        <w:numPr>
          <w:ilvl w:val="0"/>
          <w:numId w:val="2"/>
        </w:numPr>
        <w:spacing w:after="80"/>
      </w:pPr>
      <w:r>
        <w:rPr>
          <w:sz w:val="21"/>
          <w:szCs w:val="21"/>
        </w:rPr>
        <w:t xml:space="preserve">Supervise, mentor, and evaluate the Unit's research staff and postgraduate students, including academic examination of theses in related fields.</w:t>
      </w:r>
    </w:p>
    <w:p>
      <w:pPr>
        <w:pStyle w:val="ListParagraph"/>
        <w:numPr>
          <w:ilvl w:val="0"/>
          <w:numId w:val="2"/>
        </w:numPr>
        <w:spacing w:after="80"/>
      </w:pPr>
      <w:r>
        <w:rPr>
          <w:sz w:val="21"/>
          <w:szCs w:val="21"/>
        </w:rPr>
        <w:t xml:space="preserve">Represent EMCCU externally to University leadership, government agencies, and national and international academic institutions.</w:t>
      </w:r>
    </w:p>
    <w:p>
      <w:pPr>
        <w:pStyle w:val="ListParagraph"/>
        <w:numPr>
          <w:ilvl w:val="0"/>
          <w:numId w:val="2"/>
        </w:numPr>
        <w:spacing w:after="80"/>
      </w:pPr>
      <w:r>
        <w:rPr>
          <w:sz w:val="21"/>
          <w:szCs w:val="21"/>
        </w:rPr>
        <w:t xml:space="preserve">Maintain rigorous scientific and data-quality standards across all Unit outputs, and ensure appropriate confidentiality on government-commissioned work.</w:t>
      </w:r>
    </w:p>
    <w:p>
      <w:pPr>
        <w:pStyle w:val="Heading2"/>
        <w:spacing w:after="100" w:before="220"/>
      </w:pPr>
      <w:r>
        <w:rPr>
          <w:b/>
          <w:bCs/>
          <w:color w:val="1A6B6B"/>
          <w:sz w:val="23"/>
          <w:szCs w:val="23"/>
        </w:rPr>
        <w:t xml:space="preserve">Required Qualifications and Skills</w:t>
      </w:r>
    </w:p>
    <w:p>
      <w:pPr>
        <w:pStyle w:val="ListParagraph"/>
        <w:numPr>
          <w:ilvl w:val="0"/>
          <w:numId w:val="2"/>
        </w:numPr>
        <w:spacing w:after="80"/>
      </w:pPr>
      <w:r>
        <w:rPr>
          <w:sz w:val="21"/>
          <w:szCs w:val="21"/>
        </w:rPr>
        <w:t xml:space="preserve">Ph.D. in GIS and Remote Sensing with specialization in climate change.</w:t>
      </w:r>
    </w:p>
    <w:p>
      <w:pPr>
        <w:pStyle w:val="ListParagraph"/>
        <w:numPr>
          <w:ilvl w:val="0"/>
          <w:numId w:val="2"/>
        </w:numPr>
        <w:spacing w:after="80"/>
      </w:pPr>
      <w:r>
        <w:rPr>
          <w:sz w:val="21"/>
          <w:szCs w:val="21"/>
        </w:rPr>
        <w:t xml:space="preserve">Demonstrated research record in climate, environmental, and geospatial science.</w:t>
      </w:r>
    </w:p>
    <w:p>
      <w:pPr>
        <w:pStyle w:val="ListParagraph"/>
        <w:numPr>
          <w:ilvl w:val="0"/>
          <w:numId w:val="2"/>
        </w:numPr>
        <w:spacing w:after="80"/>
      </w:pPr>
      <w:r>
        <w:rPr>
          <w:sz w:val="21"/>
          <w:szCs w:val="21"/>
        </w:rPr>
        <w:t xml:space="preserve">Proficiency in GIS and remote-sensing platforms, climate and environmental data sources, and dashboard/visualization tools.</w:t>
      </w:r>
    </w:p>
    <w:p>
      <w:pPr>
        <w:pStyle w:val="ListParagraph"/>
        <w:numPr>
          <w:ilvl w:val="0"/>
          <w:numId w:val="2"/>
        </w:numPr>
        <w:spacing w:after="80"/>
      </w:pPr>
      <w:r>
        <w:rPr>
          <w:sz w:val="21"/>
          <w:szCs w:val="21"/>
        </w:rPr>
        <w:t xml:space="preserve">Strong policy-writing and legislative-review skills in Sorani Kurdish, Arabic, and English.</w:t>
      </w:r>
    </w:p>
    <w:p>
      <w:pPr>
        <w:pStyle w:val="ListParagraph"/>
        <w:numPr>
          <w:ilvl w:val="0"/>
          <w:numId w:val="2"/>
        </w:numPr>
        <w:spacing w:after="80"/>
      </w:pPr>
      <w:r>
        <w:rPr>
          <w:sz w:val="21"/>
          <w:szCs w:val="21"/>
        </w:rPr>
        <w:t xml:space="preserve">Proven ability to manage government partnerships, international collaborations, and institutional projects.</w:t>
      </w:r>
    </w:p>
    <w:p>
      <w:pPr>
        <w:pStyle w:val="ListParagraph"/>
        <w:numPr>
          <w:ilvl w:val="0"/>
          <w:numId w:val="2"/>
        </w:numPr>
        <w:spacing w:after="80"/>
      </w:pPr>
      <w:r>
        <w:rPr>
          <w:sz w:val="21"/>
          <w:szCs w:val="21"/>
        </w:rPr>
        <w:t xml:space="preserve">Leadership, mentoring, and academic-supervision experience.</w:t>
      </w:r>
    </w:p>
    <w:sectPr>
      <w:headerReference w:type="default" r:id="rId7"/>
      <w:footerReference w:type="default" r:id="rId8"/>
      <w:pgSz w:w="11907" w:h="16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5"/>
        <w:szCs w:val="15"/>
      </w:rPr>
      <w:t xml:space="preserve">EMCCU Job Description — Salahaddin University-Erbil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2026-07-21T09:00:58.597Z</dcterms:created>
  <dcterms:modified xsi:type="dcterms:W3CDTF">2026-07-21T09:00:58.612Z</dcterms:modified>
</cp:coreProperties>
</file>

<file path=docProps/custom.xml><?xml version="1.0" encoding="utf-8"?>
<Properties xmlns="http://schemas.openxmlformats.org/officeDocument/2006/custom-properties" xmlns:vt="http://schemas.openxmlformats.org/officeDocument/2006/docPropsVTypes"/>
</file>