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Project Report - Part 3</w:t>
      </w:r>
    </w:p>
    <w:p>
      <w:pPr>
        <w:pStyle w:val="Heading2"/>
      </w:pPr>
      <w:r>
        <w:t>Chapter 8 – Database Architecture</w:t>
      </w:r>
    </w:p>
    <w:p>
      <w:r>
        <w:t>The FoodExpressDB database uses a relational architecture where entities such as customers, restaurants, food items, orders, payments, deliveries, and reviews are connected through primary and foreign keys. This improves consistency and enables efficient querying.</w:t>
      </w:r>
    </w:p>
    <w:p>
      <w:pPr>
        <w:pStyle w:val="Heading2"/>
      </w:pPr>
      <w:r>
        <w:t>Chapter 9 – Database Design</w:t>
      </w:r>
    </w:p>
    <w:p>
      <w:r>
        <w:t>The schema is organized into 17 normalized tables. Each table has a clearly defined purpose and relationships that minimize redundancy while maintaining referential integrity.</w:t>
      </w:r>
    </w:p>
    <w:p>
      <w:pPr>
        <w:pStyle w:val="Heading2"/>
      </w:pPr>
      <w:r>
        <w:t>Chapter 10 – Normalization</w:t>
      </w:r>
    </w:p>
    <w:p>
      <w:r>
        <w:t>First Normal Form (1NF): Atomic values and no repeating groups.</w:t>
        <w:br/>
        <w:br/>
        <w:t>Second Normal Form (2NF): Non-key attributes depend on the full primary key.</w:t>
        <w:br/>
        <w:br/>
        <w:t>Third Normal Form (3NF): No transitive dependencies; lookup tables are separated to reduce redundancy.</w:t>
      </w:r>
    </w:p>
    <w:p>
      <w:pPr>
        <w:pStyle w:val="Heading2"/>
      </w:pPr>
      <w:r>
        <w:t>Chapter 11 – Keys and Relationships</w:t>
      </w:r>
    </w:p>
    <w:p>
      <w:r>
        <w:t>Primary keys uniquely identify records. Foreign keys link related tables such as customers→orders, restaurants→food_items, orders→order_items, and orders→payments. These constraints enforce data integrity.</w:t>
      </w:r>
    </w:p>
    <w:p>
      <w:pPr>
        <w:pStyle w:val="Heading2"/>
      </w:pPr>
      <w:r>
        <w:t>Chapter 12 – Database Features</w:t>
      </w:r>
    </w:p>
    <w:p>
      <w:r>
        <w:t>• Relational schema</w:t>
        <w:br/>
        <w:t>• Primary and Foreign Keys</w:t>
        <w:br/>
        <w:t>• Constraints (NOT NULL, UNIQUE, DEFAULT)</w:t>
        <w:br/>
        <w:t>• Normalized design</w:t>
        <w:br/>
        <w:t>• Audit and price history tables</w:t>
        <w:br/>
        <w:t>• Scalable structure for future application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