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Схема связей сайта:</w:t>
      </w:r>
    </w:p>
    <w:p w:rsidR="00000000" w:rsidDel="00000000" w:rsidP="00000000" w:rsidRDefault="00000000" w:rsidRPr="00000000" w14:paraId="00000002">
      <w:pPr>
        <w:pageBreakBefore w:val="0"/>
        <w:ind w:hanging="1133.8582677165355"/>
        <w:rPr>
          <w:rFonts w:ascii="Courier New" w:cs="Courier New" w:eastAsia="Courier New" w:hAnsi="Courier New"/>
          <w:sz w:val="2"/>
          <w:szCs w:val="2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8f9fa" w:val="clear"/>
        </w:rPr>
        <w:drawing>
          <wp:inline distB="114300" distT="114300" distL="114300" distR="114300">
            <wp:extent cx="6925628" cy="49389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628" cy="493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"/>
          <w:szCs w:val="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Пользовательские сценарии: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– Каталог товаров – Карточка товара – Купить – Позвоните мне!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– Каталог товаров – Карточка товара – Купить – Позвоню сам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– Каталог товаров – Карточка товара – Главная страница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– Карточка товара – Как правильно полоть грядки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– Интересные статьи - Как правильно полоть грядки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– Свяжитесь с нами! – Заполнение формы – Отправка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