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ACTA DE REUNIÓN </w:t>
      </w:r>
      <w:r w:rsidDel="00000000" w:rsidR="00000000" w:rsidRPr="00000000">
        <w:rPr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sz w:val="24"/>
          <w:szCs w:val="24"/>
          <w:rtl w:val="0"/>
        </w:rPr>
        <w:t xml:space="preserve"> Integración de Plataformas</w:t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0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14 de abril de 2026</w:t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sz w:val="24"/>
          <w:szCs w:val="24"/>
          <w:rtl w:val="0"/>
        </w:rPr>
        <w:t xml:space="preserve"> asincrónico, vía grupo de wsp</w:t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Andrea Baez Infante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Ignacio Henríquez Momberg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Freddy Alan Rojas Baltazar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y revisión de BPMN To Be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Traspaso de BPMN a Flowable Desing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Retroalimentación de Tareas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la Reunión: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Revisión de BPMN To Be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crea la primera iteración del BPMN To Be por parte de Diego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y Freddy se encargan de la revisión de este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concluye que el modelo debe ser modificado al encontrar situaciones en las cuales de llegan a punto nulo.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Traspaso de BPMN a Flowable Desing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traspasa a Flowable Dising la primera iteración de BPMN, tarea realizada por Romina.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sube a Drive el archivo para compartir, ya que no se logró utilizar cloud en la versión trial de Flowable.</w:t>
      </w:r>
    </w:p>
    <w:p w:rsidR="00000000" w:rsidDel="00000000" w:rsidP="00000000" w:rsidRDefault="00000000" w:rsidRPr="00000000" w14:paraId="00000017">
      <w:pPr>
        <w:spacing w:line="276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Retroalimentación de tareas: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la Tarde-Noche, se realizaron los alcances encontrados con respecto del BPMN entregado por Diego, corrigiendo los posibles errores encontrados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la Noche Romina traspaso el BPMN al Flowable Desing, permitiendo la visualización en este para todos los integrantes.</w:t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avanza en el modelo BPMN To Be y se realizan las modificaciones necesarias</w:t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 de la tercera reunión.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21320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2132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>
        <w:sz w:val="20"/>
        <w:szCs w:val="20"/>
      </w:rPr>
    </w:pPr>
    <w:r w:rsidDel="00000000" w:rsidR="00000000" w:rsidRPr="00000000">
      <w:rPr>
        <w:rFonts w:ascii="Arial" w:cs="Arial" w:eastAsia="Arial" w:hAnsi="Arial"/>
        <w:color w:val="808080"/>
        <w:sz w:val="24"/>
        <w:szCs w:val="24"/>
      </w:rPr>
      <w:drawing>
        <wp:inline distB="0" distT="0" distL="0" distR="0">
          <wp:extent cx="1295598" cy="403075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598" cy="403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808080"/>
        <w:sz w:val="24"/>
        <w:szCs w:val="24"/>
        <w:rtl w:val="0"/>
      </w:rPr>
      <w:tab/>
      <w:tab/>
      <w:tab/>
      <w:tab/>
      <w:tab/>
      <w:t xml:space="preserve">  </w:t>
    </w:r>
    <w:r w:rsidDel="00000000" w:rsidR="00000000" w:rsidRPr="00000000">
      <w:rPr>
        <w:rFonts w:ascii="Arial" w:cs="Arial" w:eastAsia="Arial" w:hAnsi="Arial"/>
        <w:b w:val="1"/>
        <w:bCs w:val="1"/>
        <w:color w:val="808080"/>
        <w:sz w:val="20"/>
        <w:szCs w:val="20"/>
        <w:rtl w:val="0"/>
      </w:rPr>
      <w:t xml:space="preserve">INTEGRACIÓN DE PLATAFORMAS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93S/oqLHcd2/LjAD2Yy5airslg==">CgMxLjA4AHIhMWZMLXVfa2x6QnVMN1MxLWoyMUZrekFzRDNtRndmeHQy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