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18AD9" w14:textId="404DBB20" w:rsidR="00D83800" w:rsidRPr="00490A83" w:rsidRDefault="00927796" w:rsidP="002E6ED3">
      <w:pPr>
        <w:spacing w:line="276" w:lineRule="auto"/>
        <w:jc w:val="both"/>
        <w:rPr>
          <w:rFonts w:ascii="Times New Roman" w:hAnsi="Times New Roman" w:cs="Times New Roman"/>
          <w:b/>
          <w:bCs/>
          <w:sz w:val="24"/>
          <w:szCs w:val="24"/>
        </w:rPr>
      </w:pPr>
      <w:r w:rsidRPr="00490A83">
        <w:rPr>
          <w:rFonts w:ascii="Times New Roman" w:hAnsi="Times New Roman" w:cs="Times New Roman"/>
          <w:b/>
          <w:bCs/>
          <w:sz w:val="24"/>
          <w:szCs w:val="24"/>
        </w:rPr>
        <w:t>Ganga River basin</w:t>
      </w:r>
      <w:r w:rsidR="00490A83" w:rsidRPr="00490A83">
        <w:rPr>
          <w:rFonts w:ascii="Times New Roman" w:hAnsi="Times New Roman" w:cs="Times New Roman"/>
          <w:b/>
          <w:bCs/>
          <w:sz w:val="24"/>
          <w:szCs w:val="24"/>
        </w:rPr>
        <w:t xml:space="preserve"> Details</w:t>
      </w:r>
      <w:r w:rsidR="009C3653" w:rsidRPr="00490A83">
        <w:rPr>
          <w:rFonts w:ascii="Times New Roman" w:hAnsi="Times New Roman" w:cs="Times New Roman"/>
          <w:b/>
          <w:bCs/>
          <w:sz w:val="24"/>
          <w:szCs w:val="24"/>
        </w:rPr>
        <w:t xml:space="preserve"> </w:t>
      </w:r>
    </w:p>
    <w:tbl>
      <w:tblPr>
        <w:tblStyle w:val="TableGrid"/>
        <w:tblW w:w="0" w:type="auto"/>
        <w:tblLook w:val="04A0" w:firstRow="1" w:lastRow="0" w:firstColumn="1" w:lastColumn="0" w:noHBand="0" w:noVBand="1"/>
      </w:tblPr>
      <w:tblGrid>
        <w:gridCol w:w="2766"/>
        <w:gridCol w:w="3320"/>
        <w:gridCol w:w="2930"/>
      </w:tblGrid>
      <w:tr w:rsidR="001C4392" w:rsidRPr="00490A83" w14:paraId="02542544" w14:textId="43B8F42F" w:rsidTr="00CA3834">
        <w:tc>
          <w:tcPr>
            <w:tcW w:w="2766" w:type="dxa"/>
          </w:tcPr>
          <w:p w14:paraId="3D02BC6F" w14:textId="251CB9D5" w:rsidR="001C4392" w:rsidRPr="00490A83" w:rsidRDefault="00400511" w:rsidP="002E6ED3">
            <w:pPr>
              <w:spacing w:line="276" w:lineRule="auto"/>
              <w:jc w:val="both"/>
              <w:rPr>
                <w:rFonts w:ascii="Times New Roman" w:hAnsi="Times New Roman" w:cs="Times New Roman"/>
                <w:b/>
                <w:bCs/>
                <w:sz w:val="24"/>
                <w:szCs w:val="24"/>
              </w:rPr>
            </w:pPr>
            <w:r w:rsidRPr="00490A83">
              <w:rPr>
                <w:rFonts w:ascii="Times New Roman" w:hAnsi="Times New Roman" w:cs="Times New Roman"/>
                <w:b/>
                <w:bCs/>
                <w:sz w:val="24"/>
                <w:szCs w:val="24"/>
              </w:rPr>
              <w:t>Parameters</w:t>
            </w:r>
          </w:p>
        </w:tc>
        <w:tc>
          <w:tcPr>
            <w:tcW w:w="3320" w:type="dxa"/>
          </w:tcPr>
          <w:p w14:paraId="2D03B56F" w14:textId="1E55B284" w:rsidR="001C4392" w:rsidRPr="00490A83" w:rsidRDefault="00400511" w:rsidP="002E6ED3">
            <w:pPr>
              <w:spacing w:line="276" w:lineRule="auto"/>
              <w:jc w:val="both"/>
              <w:rPr>
                <w:rFonts w:ascii="Times New Roman" w:hAnsi="Times New Roman" w:cs="Times New Roman"/>
                <w:b/>
                <w:bCs/>
                <w:sz w:val="24"/>
                <w:szCs w:val="24"/>
              </w:rPr>
            </w:pPr>
            <w:r w:rsidRPr="00490A83">
              <w:rPr>
                <w:rFonts w:ascii="Times New Roman" w:hAnsi="Times New Roman" w:cs="Times New Roman"/>
                <w:b/>
                <w:bCs/>
                <w:sz w:val="24"/>
                <w:szCs w:val="24"/>
              </w:rPr>
              <w:t>Details</w:t>
            </w:r>
          </w:p>
        </w:tc>
        <w:tc>
          <w:tcPr>
            <w:tcW w:w="2930" w:type="dxa"/>
          </w:tcPr>
          <w:p w14:paraId="297C8851" w14:textId="12AD34FF" w:rsidR="001C4392" w:rsidRPr="00490A83" w:rsidRDefault="009C3653" w:rsidP="002E6ED3">
            <w:pPr>
              <w:spacing w:line="276" w:lineRule="auto"/>
              <w:jc w:val="both"/>
              <w:rPr>
                <w:rFonts w:ascii="Times New Roman" w:hAnsi="Times New Roman" w:cs="Times New Roman"/>
                <w:b/>
                <w:bCs/>
                <w:sz w:val="24"/>
                <w:szCs w:val="24"/>
              </w:rPr>
            </w:pPr>
            <w:r w:rsidRPr="00490A83">
              <w:rPr>
                <w:rFonts w:ascii="Times New Roman" w:hAnsi="Times New Roman" w:cs="Times New Roman"/>
                <w:b/>
                <w:bCs/>
                <w:sz w:val="24"/>
                <w:szCs w:val="24"/>
              </w:rPr>
              <w:t>Reference</w:t>
            </w:r>
          </w:p>
        </w:tc>
      </w:tr>
      <w:tr w:rsidR="001C4392" w:rsidRPr="00490A83" w14:paraId="772163D0" w14:textId="29864BB7" w:rsidTr="00CA3834">
        <w:tc>
          <w:tcPr>
            <w:tcW w:w="2766" w:type="dxa"/>
          </w:tcPr>
          <w:p w14:paraId="71264F2F" w14:textId="1E0317E5" w:rsidR="001C4392" w:rsidRPr="00490A83" w:rsidRDefault="001C4392"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Length</w:t>
            </w:r>
          </w:p>
        </w:tc>
        <w:tc>
          <w:tcPr>
            <w:tcW w:w="3320" w:type="dxa"/>
          </w:tcPr>
          <w:p w14:paraId="65B8A1BB" w14:textId="77B87578" w:rsidR="001C4392" w:rsidRPr="00490A83" w:rsidRDefault="001C4392"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2525 km</w:t>
            </w:r>
          </w:p>
        </w:tc>
        <w:tc>
          <w:tcPr>
            <w:tcW w:w="2930" w:type="dxa"/>
          </w:tcPr>
          <w:p w14:paraId="20137F7A" w14:textId="7F21C3AC" w:rsidR="001C4392" w:rsidRPr="00490A83" w:rsidRDefault="00A45AB1"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CWC (2014)</w:t>
            </w:r>
          </w:p>
        </w:tc>
      </w:tr>
      <w:tr w:rsidR="00CA3834" w:rsidRPr="00490A83" w14:paraId="2F862E87" w14:textId="270E368D" w:rsidTr="00CA3834">
        <w:tc>
          <w:tcPr>
            <w:tcW w:w="2766" w:type="dxa"/>
          </w:tcPr>
          <w:p w14:paraId="56FF1D72" w14:textId="7A7F6F28"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 xml:space="preserve">Catchment area </w:t>
            </w:r>
          </w:p>
        </w:tc>
        <w:tc>
          <w:tcPr>
            <w:tcW w:w="3320" w:type="dxa"/>
          </w:tcPr>
          <w:p w14:paraId="1419740F" w14:textId="11B31E06"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861542 sq</w:t>
            </w:r>
            <w:r w:rsidR="00D01CED">
              <w:rPr>
                <w:rFonts w:ascii="Times New Roman" w:hAnsi="Times New Roman" w:cs="Times New Roman"/>
                <w:sz w:val="24"/>
                <w:szCs w:val="24"/>
              </w:rPr>
              <w:t xml:space="preserve">. </w:t>
            </w:r>
            <w:r w:rsidRPr="00490A83">
              <w:rPr>
                <w:rFonts w:ascii="Times New Roman" w:hAnsi="Times New Roman" w:cs="Times New Roman"/>
                <w:sz w:val="24"/>
                <w:szCs w:val="24"/>
              </w:rPr>
              <w:t>km</w:t>
            </w:r>
          </w:p>
        </w:tc>
        <w:tc>
          <w:tcPr>
            <w:tcW w:w="2930" w:type="dxa"/>
          </w:tcPr>
          <w:p w14:paraId="674F80C8" w14:textId="4C892562" w:rsidR="00CA3834" w:rsidRPr="00490A83" w:rsidRDefault="00490A83"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CWC (2014)</w:t>
            </w:r>
            <w:r w:rsidRPr="00490A83">
              <w:rPr>
                <w:rFonts w:ascii="Times New Roman" w:hAnsi="Times New Roman" w:cs="Times New Roman"/>
                <w:sz w:val="24"/>
                <w:szCs w:val="24"/>
              </w:rPr>
              <w:t xml:space="preserve"> </w:t>
            </w:r>
          </w:p>
        </w:tc>
      </w:tr>
      <w:tr w:rsidR="00CA3834" w:rsidRPr="00490A83" w14:paraId="15F2861A" w14:textId="700C7662" w:rsidTr="00CA3834">
        <w:tc>
          <w:tcPr>
            <w:tcW w:w="2766" w:type="dxa"/>
          </w:tcPr>
          <w:p w14:paraId="49B3CB08" w14:textId="5E9A901A" w:rsidR="00CA3834" w:rsidRPr="00490A83" w:rsidRDefault="00CA3834" w:rsidP="002E6ED3">
            <w:pPr>
              <w:tabs>
                <w:tab w:val="left" w:pos="930"/>
              </w:tabs>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Geographical area cover</w:t>
            </w:r>
          </w:p>
        </w:tc>
        <w:tc>
          <w:tcPr>
            <w:tcW w:w="3320" w:type="dxa"/>
          </w:tcPr>
          <w:p w14:paraId="1180D185" w14:textId="06A06580"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26.3% of the country’s total geographical</w:t>
            </w:r>
            <w:r w:rsidRPr="00490A83">
              <w:rPr>
                <w:rFonts w:ascii="Times New Roman" w:hAnsi="Times New Roman" w:cs="Times New Roman"/>
                <w:sz w:val="24"/>
                <w:szCs w:val="24"/>
              </w:rPr>
              <w:t xml:space="preserve"> </w:t>
            </w:r>
            <w:r w:rsidRPr="00490A83">
              <w:rPr>
                <w:rFonts w:ascii="Times New Roman" w:hAnsi="Times New Roman" w:cs="Times New Roman"/>
                <w:sz w:val="24"/>
                <w:szCs w:val="24"/>
              </w:rPr>
              <w:t>area</w:t>
            </w:r>
          </w:p>
        </w:tc>
        <w:tc>
          <w:tcPr>
            <w:tcW w:w="2930" w:type="dxa"/>
          </w:tcPr>
          <w:p w14:paraId="292685DD" w14:textId="42357F59" w:rsidR="00CA3834" w:rsidRPr="00490A83" w:rsidRDefault="00490A83" w:rsidP="002E6ED3">
            <w:pPr>
              <w:spacing w:line="276" w:lineRule="auto"/>
              <w:jc w:val="both"/>
              <w:rPr>
                <w:rFonts w:ascii="Times New Roman" w:hAnsi="Times New Roman" w:cs="Times New Roman"/>
                <w:color w:val="131413"/>
                <w:kern w:val="0"/>
                <w:sz w:val="24"/>
                <w:szCs w:val="24"/>
              </w:rPr>
            </w:pPr>
            <w:r w:rsidRPr="00490A83">
              <w:rPr>
                <w:rFonts w:ascii="Times New Roman" w:hAnsi="Times New Roman" w:cs="Times New Roman"/>
                <w:color w:val="131413"/>
                <w:kern w:val="0"/>
                <w:sz w:val="24"/>
                <w:szCs w:val="24"/>
              </w:rPr>
              <w:t>Trivedi et al. (2010)</w:t>
            </w:r>
          </w:p>
        </w:tc>
      </w:tr>
      <w:tr w:rsidR="00CA3834" w:rsidRPr="00490A83" w14:paraId="7A35460A" w14:textId="45EA374B" w:rsidTr="00CA3834">
        <w:tc>
          <w:tcPr>
            <w:tcW w:w="2766" w:type="dxa"/>
          </w:tcPr>
          <w:p w14:paraId="140F626C" w14:textId="6FEA3A43"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Lat long</w:t>
            </w:r>
          </w:p>
        </w:tc>
        <w:tc>
          <w:tcPr>
            <w:tcW w:w="3320" w:type="dxa"/>
          </w:tcPr>
          <w:p w14:paraId="07CA1C19" w14:textId="77777777"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spreads between 73° 2′ to 89° 5′ E and 21° 6′ to</w:t>
            </w:r>
          </w:p>
          <w:p w14:paraId="2D3F8DF2" w14:textId="6FA49304"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31° 21′ N.</w:t>
            </w:r>
          </w:p>
        </w:tc>
        <w:tc>
          <w:tcPr>
            <w:tcW w:w="2930" w:type="dxa"/>
          </w:tcPr>
          <w:p w14:paraId="45580114" w14:textId="196348E9" w:rsidR="00CA3834" w:rsidRPr="00490A83" w:rsidRDefault="00490A83" w:rsidP="002E6ED3">
            <w:pPr>
              <w:spacing w:line="276" w:lineRule="auto"/>
              <w:jc w:val="both"/>
              <w:rPr>
                <w:rFonts w:ascii="Times New Roman" w:hAnsi="Times New Roman" w:cs="Times New Roman"/>
                <w:sz w:val="24"/>
                <w:szCs w:val="24"/>
              </w:rPr>
            </w:pPr>
            <w:r w:rsidRPr="00490A83">
              <w:rPr>
                <w:rFonts w:ascii="Times New Roman" w:hAnsi="Times New Roman" w:cs="Times New Roman"/>
                <w:color w:val="131413"/>
                <w:kern w:val="0"/>
                <w:sz w:val="24"/>
                <w:szCs w:val="24"/>
              </w:rPr>
              <w:t>Trivedi et al. (2010)</w:t>
            </w:r>
          </w:p>
        </w:tc>
      </w:tr>
      <w:tr w:rsidR="00CA3834" w:rsidRPr="00490A83" w14:paraId="129AB807" w14:textId="5C2E2505" w:rsidTr="00CA3834">
        <w:tc>
          <w:tcPr>
            <w:tcW w:w="2766" w:type="dxa"/>
          </w:tcPr>
          <w:p w14:paraId="68CCF89F" w14:textId="17A8F98A"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Mean annual temperature</w:t>
            </w:r>
          </w:p>
        </w:tc>
        <w:tc>
          <w:tcPr>
            <w:tcW w:w="3320" w:type="dxa"/>
          </w:tcPr>
          <w:p w14:paraId="4879EAFD" w14:textId="77777777" w:rsidR="00CA3834" w:rsidRPr="00490A83" w:rsidRDefault="00CA3834" w:rsidP="002E6ED3">
            <w:pPr>
              <w:spacing w:line="276" w:lineRule="auto"/>
              <w:jc w:val="both"/>
              <w:rPr>
                <w:rFonts w:ascii="Times New Roman" w:hAnsi="Times New Roman" w:cs="Times New Roman"/>
                <w:color w:val="131413"/>
                <w:kern w:val="0"/>
                <w:sz w:val="24"/>
                <w:szCs w:val="24"/>
              </w:rPr>
            </w:pPr>
            <w:r w:rsidRPr="00490A83">
              <w:rPr>
                <w:rFonts w:ascii="Times New Roman" w:hAnsi="Times New Roman" w:cs="Times New Roman"/>
                <w:color w:val="131413"/>
                <w:kern w:val="0"/>
                <w:sz w:val="24"/>
                <w:szCs w:val="24"/>
              </w:rPr>
              <w:t>24 °C</w:t>
            </w:r>
          </w:p>
          <w:p w14:paraId="0838CD2C" w14:textId="77777777" w:rsidR="00CA3834" w:rsidRPr="00490A83" w:rsidRDefault="00CA3834" w:rsidP="002E6ED3">
            <w:pPr>
              <w:spacing w:after="0" w:line="276" w:lineRule="auto"/>
              <w:jc w:val="both"/>
              <w:rPr>
                <w:rFonts w:ascii="Times New Roman" w:hAnsi="Times New Roman" w:cs="Times New Roman"/>
                <w:sz w:val="24"/>
                <w:szCs w:val="24"/>
              </w:rPr>
            </w:pPr>
            <w:r w:rsidRPr="00490A83">
              <w:rPr>
                <w:rFonts w:ascii="Times New Roman" w:hAnsi="Times New Roman" w:cs="Times New Roman"/>
                <w:sz w:val="24"/>
                <w:szCs w:val="24"/>
              </w:rPr>
              <w:t>The basin shows a rising trend with 0.04 °C/year in Nepal and</w:t>
            </w:r>
          </w:p>
          <w:p w14:paraId="1A6AE9DE" w14:textId="0623BB9F"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0.091 °C/year in Bangladesh, which is much higher than the increase in global average temperatures</w:t>
            </w:r>
          </w:p>
        </w:tc>
        <w:tc>
          <w:tcPr>
            <w:tcW w:w="2930" w:type="dxa"/>
          </w:tcPr>
          <w:p w14:paraId="714F18F7" w14:textId="23E183CD"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Kirby et al. (2015)</w:t>
            </w:r>
          </w:p>
        </w:tc>
      </w:tr>
      <w:tr w:rsidR="00CA3834" w:rsidRPr="00490A83" w14:paraId="1F57C605" w14:textId="027DA802" w:rsidTr="00CA3834">
        <w:tc>
          <w:tcPr>
            <w:tcW w:w="2766" w:type="dxa"/>
          </w:tcPr>
          <w:p w14:paraId="549297DE" w14:textId="1D8A1C6D"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Hydrology</w:t>
            </w:r>
          </w:p>
        </w:tc>
        <w:tc>
          <w:tcPr>
            <w:tcW w:w="3320" w:type="dxa"/>
          </w:tcPr>
          <w:p w14:paraId="567149FA" w14:textId="77777777"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The basin receives nearly 80% of its total rainfall in the monsoon period of June–October and its average annual rainfall varies from 400 to 2000 mm.</w:t>
            </w:r>
          </w:p>
          <w:p w14:paraId="16D909C0" w14:textId="532FE77E"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The average annual rainfall in the Indian part of Ganga varies from less than 400 mm in the western regions, 1,200 mm in the middle to more than 2,000 mm in the eastern parts.</w:t>
            </w:r>
          </w:p>
        </w:tc>
        <w:tc>
          <w:tcPr>
            <w:tcW w:w="2930" w:type="dxa"/>
          </w:tcPr>
          <w:p w14:paraId="6FD0A749" w14:textId="629154B3" w:rsidR="00CA3834" w:rsidRPr="00490A83" w:rsidRDefault="00CA3834" w:rsidP="002E6ED3">
            <w:pPr>
              <w:spacing w:line="276" w:lineRule="auto"/>
              <w:jc w:val="both"/>
              <w:rPr>
                <w:rFonts w:ascii="Times New Roman" w:hAnsi="Times New Roman" w:cs="Times New Roman"/>
                <w:kern w:val="0"/>
                <w:sz w:val="24"/>
                <w:szCs w:val="24"/>
              </w:rPr>
            </w:pPr>
            <w:r w:rsidRPr="00490A83">
              <w:rPr>
                <w:rFonts w:ascii="Times New Roman" w:hAnsi="Times New Roman" w:cs="Times New Roman"/>
                <w:kern w:val="0"/>
                <w:sz w:val="24"/>
                <w:szCs w:val="24"/>
              </w:rPr>
              <w:t>Surinaidu</w:t>
            </w:r>
            <w:r w:rsidR="00ED67F9">
              <w:rPr>
                <w:rFonts w:ascii="Times New Roman" w:hAnsi="Times New Roman" w:cs="Times New Roman"/>
                <w:kern w:val="0"/>
                <w:sz w:val="24"/>
                <w:szCs w:val="24"/>
              </w:rPr>
              <w:t xml:space="preserve"> </w:t>
            </w:r>
            <w:r w:rsidRPr="00490A83">
              <w:rPr>
                <w:rFonts w:ascii="Times New Roman" w:hAnsi="Times New Roman" w:cs="Times New Roman"/>
                <w:kern w:val="0"/>
                <w:sz w:val="24"/>
                <w:szCs w:val="24"/>
              </w:rPr>
              <w:t>et al. (2020)</w:t>
            </w:r>
          </w:p>
          <w:p w14:paraId="29A2F3F9" w14:textId="32AE858B"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Zakwan et al. (2021)</w:t>
            </w:r>
          </w:p>
        </w:tc>
      </w:tr>
      <w:tr w:rsidR="00CA3834" w:rsidRPr="00490A83" w14:paraId="584FD7D2" w14:textId="6B76677B" w:rsidTr="00CA3834">
        <w:tc>
          <w:tcPr>
            <w:tcW w:w="2766" w:type="dxa"/>
          </w:tcPr>
          <w:p w14:paraId="05547B4C" w14:textId="6C46003B"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Topography</w:t>
            </w:r>
          </w:p>
        </w:tc>
        <w:tc>
          <w:tcPr>
            <w:tcW w:w="3320" w:type="dxa"/>
          </w:tcPr>
          <w:p w14:paraId="60C37C3C" w14:textId="4B004B92"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 xml:space="preserve">Mountains dominate the north with at 8,848 meters (AMSL). </w:t>
            </w:r>
          </w:p>
          <w:p w14:paraId="4681EA74" w14:textId="77777777" w:rsidR="00CA3834" w:rsidRPr="00490A83" w:rsidRDefault="00CA3834" w:rsidP="002E6ED3">
            <w:pPr>
              <w:spacing w:after="0" w:line="276" w:lineRule="auto"/>
              <w:jc w:val="both"/>
              <w:rPr>
                <w:rFonts w:ascii="Times New Roman" w:hAnsi="Times New Roman" w:cs="Times New Roman"/>
                <w:sz w:val="24"/>
                <w:szCs w:val="24"/>
              </w:rPr>
            </w:pPr>
            <w:r w:rsidRPr="00490A83">
              <w:rPr>
                <w:rFonts w:ascii="Times New Roman" w:hAnsi="Times New Roman" w:cs="Times New Roman"/>
                <w:sz w:val="24"/>
                <w:szCs w:val="24"/>
              </w:rPr>
              <w:t>The flat plains, at less than 100 m AMSL, dominate the</w:t>
            </w:r>
          </w:p>
          <w:p w14:paraId="150ABF0B" w14:textId="010C4A1F"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middle part of the basin.</w:t>
            </w:r>
          </w:p>
        </w:tc>
        <w:tc>
          <w:tcPr>
            <w:tcW w:w="2930" w:type="dxa"/>
          </w:tcPr>
          <w:p w14:paraId="386CCA3A" w14:textId="60BD8B2E"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GOI (2014)</w:t>
            </w:r>
            <w:r w:rsidR="00ED67F9">
              <w:rPr>
                <w:rFonts w:ascii="Times New Roman" w:hAnsi="Times New Roman" w:cs="Times New Roman"/>
                <w:sz w:val="24"/>
                <w:szCs w:val="24"/>
              </w:rPr>
              <w:t xml:space="preserve">, </w:t>
            </w:r>
          </w:p>
        </w:tc>
      </w:tr>
      <w:tr w:rsidR="00CA3834" w:rsidRPr="00490A83" w14:paraId="1283CBFA" w14:textId="4096E651" w:rsidTr="00CA3834">
        <w:tc>
          <w:tcPr>
            <w:tcW w:w="2766" w:type="dxa"/>
          </w:tcPr>
          <w:p w14:paraId="0A17706E" w14:textId="2007883D"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 xml:space="preserve">Geology </w:t>
            </w:r>
          </w:p>
        </w:tc>
        <w:tc>
          <w:tcPr>
            <w:tcW w:w="3320" w:type="dxa"/>
          </w:tcPr>
          <w:p w14:paraId="4040D6F8" w14:textId="5C0255D0"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The basin is divided from north to south into the Himalayan region, sub-Himalayan region, Bhabar zone, Terai zone, central Ganga plains, and marginal alluvial plains. The aquifer system's complexity is driven by depositional features and geomorphology.</w:t>
            </w:r>
          </w:p>
        </w:tc>
        <w:tc>
          <w:tcPr>
            <w:tcW w:w="2930" w:type="dxa"/>
          </w:tcPr>
          <w:p w14:paraId="780E83B2" w14:textId="41FD8F2D" w:rsidR="00CA3834" w:rsidRPr="00490A83" w:rsidRDefault="0087358C" w:rsidP="002E6ED3">
            <w:pPr>
              <w:spacing w:line="276" w:lineRule="auto"/>
              <w:jc w:val="both"/>
              <w:rPr>
                <w:rFonts w:ascii="Times New Roman" w:hAnsi="Times New Roman" w:cs="Times New Roman"/>
                <w:sz w:val="24"/>
                <w:szCs w:val="24"/>
              </w:rPr>
            </w:pPr>
            <w:r w:rsidRPr="0087358C">
              <w:rPr>
                <w:rFonts w:ascii="Times New Roman" w:hAnsi="Times New Roman" w:cs="Times New Roman"/>
                <w:sz w:val="24"/>
                <w:szCs w:val="24"/>
              </w:rPr>
              <w:t>Surinaidu</w:t>
            </w:r>
            <w:r>
              <w:rPr>
                <w:rFonts w:ascii="Times New Roman" w:hAnsi="Times New Roman" w:cs="Times New Roman"/>
                <w:sz w:val="24"/>
                <w:szCs w:val="24"/>
              </w:rPr>
              <w:t xml:space="preserve"> et al (2020)</w:t>
            </w:r>
          </w:p>
        </w:tc>
      </w:tr>
      <w:tr w:rsidR="00CA3834" w:rsidRPr="00490A83" w14:paraId="6831B870" w14:textId="5FDF2E6F" w:rsidTr="00CA3834">
        <w:tc>
          <w:tcPr>
            <w:tcW w:w="2766" w:type="dxa"/>
          </w:tcPr>
          <w:p w14:paraId="6534EE2A" w14:textId="60A2FB9B"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lastRenderedPageBreak/>
              <w:t>Hydrogeology</w:t>
            </w:r>
          </w:p>
        </w:tc>
        <w:tc>
          <w:tcPr>
            <w:tcW w:w="3320" w:type="dxa"/>
          </w:tcPr>
          <w:p w14:paraId="679B4A7D" w14:textId="6D3511B8"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The basin features thick alluvial sediments deposited by the river and its distributaries, forming unconfined and leaky aquifers that extend from 1,500 to 2,000 m below ground level. These aquifers consist of sand, gravel, pebbles, and multiple high-yielding layers.</w:t>
            </w:r>
          </w:p>
          <w:p w14:paraId="3AA1B1E0" w14:textId="77777777" w:rsidR="00CA3834" w:rsidRPr="00490A83" w:rsidRDefault="00CA3834" w:rsidP="002E6ED3">
            <w:pPr>
              <w:spacing w:line="276" w:lineRule="auto"/>
              <w:jc w:val="both"/>
              <w:rPr>
                <w:rFonts w:ascii="Times New Roman" w:hAnsi="Times New Roman" w:cs="Times New Roman"/>
                <w:sz w:val="24"/>
                <w:szCs w:val="24"/>
              </w:rPr>
            </w:pPr>
          </w:p>
        </w:tc>
        <w:tc>
          <w:tcPr>
            <w:tcW w:w="2930" w:type="dxa"/>
          </w:tcPr>
          <w:p w14:paraId="10055263" w14:textId="4B858DCD"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MacDonald et al. (2016)</w:t>
            </w:r>
          </w:p>
        </w:tc>
      </w:tr>
      <w:tr w:rsidR="00CA3834" w:rsidRPr="00490A83" w14:paraId="2A4ABD49" w14:textId="37364F52" w:rsidTr="00CA3834">
        <w:tc>
          <w:tcPr>
            <w:tcW w:w="2766" w:type="dxa"/>
          </w:tcPr>
          <w:p w14:paraId="567D8743" w14:textId="3FA82ED9"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Basin Cover Different States</w:t>
            </w:r>
          </w:p>
        </w:tc>
        <w:tc>
          <w:tcPr>
            <w:tcW w:w="3320" w:type="dxa"/>
          </w:tcPr>
          <w:p w14:paraId="34D0CD01" w14:textId="77777777" w:rsidR="00CA3834" w:rsidRPr="00490A83" w:rsidRDefault="00CA3834" w:rsidP="002E6ED3">
            <w:pPr>
              <w:spacing w:after="0" w:line="276" w:lineRule="auto"/>
              <w:jc w:val="both"/>
              <w:rPr>
                <w:rFonts w:ascii="Times New Roman" w:hAnsi="Times New Roman" w:cs="Times New Roman"/>
                <w:sz w:val="24"/>
                <w:szCs w:val="24"/>
              </w:rPr>
            </w:pPr>
            <w:r w:rsidRPr="00490A83">
              <w:rPr>
                <w:rFonts w:ascii="Times New Roman" w:hAnsi="Times New Roman" w:cs="Times New Roman"/>
                <w:sz w:val="24"/>
                <w:szCs w:val="24"/>
              </w:rPr>
              <w:t>Uttar Pradesh, (240,798</w:t>
            </w:r>
          </w:p>
          <w:p w14:paraId="49556DD0" w14:textId="157BC2C9" w:rsidR="00CA3834" w:rsidRPr="00490A83" w:rsidRDefault="00C259F2" w:rsidP="002E6ED3">
            <w:pPr>
              <w:spacing w:after="0" w:line="276" w:lineRule="auto"/>
              <w:jc w:val="both"/>
              <w:rPr>
                <w:rFonts w:ascii="Times New Roman" w:hAnsi="Times New Roman" w:cs="Times New Roman"/>
                <w:sz w:val="24"/>
                <w:szCs w:val="24"/>
              </w:rPr>
            </w:pPr>
            <w:r w:rsidRPr="00490A83">
              <w:rPr>
                <w:rFonts w:ascii="Times New Roman" w:hAnsi="Times New Roman" w:cs="Times New Roman"/>
                <w:sz w:val="24"/>
                <w:szCs w:val="24"/>
              </w:rPr>
              <w:t>km</w:t>
            </w:r>
            <w:r w:rsidRPr="001D1EA6">
              <w:rPr>
                <w:rFonts w:ascii="Times New Roman" w:hAnsi="Times New Roman" w:cs="Times New Roman"/>
                <w:sz w:val="24"/>
                <w:szCs w:val="24"/>
                <w:vertAlign w:val="superscript"/>
              </w:rPr>
              <w:t>2</w:t>
            </w:r>
            <w:r w:rsidR="00CA3834" w:rsidRPr="00490A83">
              <w:rPr>
                <w:rFonts w:ascii="Times New Roman" w:hAnsi="Times New Roman" w:cs="Times New Roman"/>
                <w:sz w:val="24"/>
                <w:szCs w:val="24"/>
              </w:rPr>
              <w:t>), Uttarakhand (53,566), Bihar (143,961 km</w:t>
            </w:r>
            <w:r w:rsidR="00CA3834" w:rsidRPr="001D1EA6">
              <w:rPr>
                <w:rFonts w:ascii="Times New Roman" w:hAnsi="Times New Roman" w:cs="Times New Roman"/>
                <w:sz w:val="24"/>
                <w:szCs w:val="24"/>
                <w:vertAlign w:val="superscript"/>
              </w:rPr>
              <w:t>2</w:t>
            </w:r>
            <w:r w:rsidR="00CA3834" w:rsidRPr="00490A83">
              <w:rPr>
                <w:rFonts w:ascii="Times New Roman" w:hAnsi="Times New Roman" w:cs="Times New Roman"/>
                <w:sz w:val="24"/>
                <w:szCs w:val="24"/>
              </w:rPr>
              <w:t>),</w:t>
            </w:r>
          </w:p>
          <w:p w14:paraId="6D62A538" w14:textId="343C53F7" w:rsidR="00CA3834" w:rsidRPr="00490A83" w:rsidRDefault="00CA3834" w:rsidP="002E6ED3">
            <w:pPr>
              <w:spacing w:after="0" w:line="276" w:lineRule="auto"/>
              <w:jc w:val="both"/>
              <w:rPr>
                <w:rFonts w:ascii="Times New Roman" w:hAnsi="Times New Roman" w:cs="Times New Roman"/>
                <w:sz w:val="24"/>
                <w:szCs w:val="24"/>
              </w:rPr>
            </w:pPr>
            <w:r w:rsidRPr="00490A83">
              <w:rPr>
                <w:rFonts w:ascii="Times New Roman" w:hAnsi="Times New Roman" w:cs="Times New Roman"/>
                <w:sz w:val="24"/>
                <w:szCs w:val="24"/>
              </w:rPr>
              <w:t xml:space="preserve">West Bengal (71,485 </w:t>
            </w:r>
            <w:r w:rsidR="00F77621" w:rsidRPr="00490A83">
              <w:rPr>
                <w:rFonts w:ascii="Times New Roman" w:hAnsi="Times New Roman" w:cs="Times New Roman"/>
                <w:sz w:val="24"/>
                <w:szCs w:val="24"/>
              </w:rPr>
              <w:t>km</w:t>
            </w:r>
            <w:r w:rsidR="00F77621" w:rsidRPr="001D1EA6">
              <w:rPr>
                <w:rFonts w:ascii="Times New Roman" w:hAnsi="Times New Roman" w:cs="Times New Roman"/>
                <w:sz w:val="24"/>
                <w:szCs w:val="24"/>
                <w:vertAlign w:val="superscript"/>
              </w:rPr>
              <w:t>2</w:t>
            </w:r>
            <w:r w:rsidRPr="00490A83">
              <w:rPr>
                <w:rFonts w:ascii="Times New Roman" w:hAnsi="Times New Roman" w:cs="Times New Roman"/>
                <w:sz w:val="24"/>
                <w:szCs w:val="24"/>
              </w:rPr>
              <w:t xml:space="preserve">) and Delhi (1,484 </w:t>
            </w:r>
            <w:r w:rsidR="00F77621" w:rsidRPr="00490A83">
              <w:rPr>
                <w:rFonts w:ascii="Times New Roman" w:hAnsi="Times New Roman" w:cs="Times New Roman"/>
                <w:sz w:val="24"/>
                <w:szCs w:val="24"/>
              </w:rPr>
              <w:t>km</w:t>
            </w:r>
            <w:r w:rsidR="00F77621" w:rsidRPr="001D1EA6">
              <w:rPr>
                <w:rFonts w:ascii="Times New Roman" w:hAnsi="Times New Roman" w:cs="Times New Roman"/>
                <w:sz w:val="24"/>
                <w:szCs w:val="24"/>
                <w:vertAlign w:val="superscript"/>
              </w:rPr>
              <w:t>2</w:t>
            </w:r>
            <w:r w:rsidRPr="00490A83">
              <w:rPr>
                <w:rFonts w:ascii="Times New Roman" w:hAnsi="Times New Roman" w:cs="Times New Roman"/>
                <w:sz w:val="24"/>
                <w:szCs w:val="24"/>
              </w:rPr>
              <w:t>),</w:t>
            </w:r>
          </w:p>
          <w:p w14:paraId="7C693B51" w14:textId="0E028A24" w:rsidR="00CA3834" w:rsidRPr="00490A83" w:rsidRDefault="00CA3834" w:rsidP="002E6ED3">
            <w:pPr>
              <w:spacing w:after="0" w:line="276" w:lineRule="auto"/>
              <w:jc w:val="both"/>
              <w:rPr>
                <w:rFonts w:ascii="Times New Roman" w:hAnsi="Times New Roman" w:cs="Times New Roman"/>
                <w:sz w:val="24"/>
                <w:szCs w:val="24"/>
              </w:rPr>
            </w:pPr>
            <w:r w:rsidRPr="00490A83">
              <w:rPr>
                <w:rFonts w:ascii="Times New Roman" w:hAnsi="Times New Roman" w:cs="Times New Roman"/>
                <w:sz w:val="24"/>
                <w:szCs w:val="24"/>
              </w:rPr>
              <w:t xml:space="preserve">and part of Madhya Pradesh (198,962 </w:t>
            </w:r>
            <w:r w:rsidR="00F77621" w:rsidRPr="00490A83">
              <w:rPr>
                <w:rFonts w:ascii="Times New Roman" w:hAnsi="Times New Roman" w:cs="Times New Roman"/>
                <w:sz w:val="24"/>
                <w:szCs w:val="24"/>
              </w:rPr>
              <w:t>km</w:t>
            </w:r>
            <w:r w:rsidR="00F77621" w:rsidRPr="001D1EA6">
              <w:rPr>
                <w:rFonts w:ascii="Times New Roman" w:hAnsi="Times New Roman" w:cs="Times New Roman"/>
                <w:sz w:val="24"/>
                <w:szCs w:val="24"/>
                <w:vertAlign w:val="superscript"/>
              </w:rPr>
              <w:t>2</w:t>
            </w:r>
            <w:r w:rsidRPr="00490A83">
              <w:rPr>
                <w:rFonts w:ascii="Times New Roman" w:hAnsi="Times New Roman" w:cs="Times New Roman"/>
                <w:sz w:val="24"/>
                <w:szCs w:val="24"/>
              </w:rPr>
              <w:t xml:space="preserve">), Rajasthan (112,490 km2), Haryana (34,341 </w:t>
            </w:r>
            <w:r w:rsidR="00F77621" w:rsidRPr="00490A83">
              <w:rPr>
                <w:rFonts w:ascii="Times New Roman" w:hAnsi="Times New Roman" w:cs="Times New Roman"/>
                <w:sz w:val="24"/>
                <w:szCs w:val="24"/>
              </w:rPr>
              <w:t>km</w:t>
            </w:r>
            <w:r w:rsidR="00F77621" w:rsidRPr="001D1EA6">
              <w:rPr>
                <w:rFonts w:ascii="Times New Roman" w:hAnsi="Times New Roman" w:cs="Times New Roman"/>
                <w:sz w:val="24"/>
                <w:szCs w:val="24"/>
                <w:vertAlign w:val="superscript"/>
              </w:rPr>
              <w:t>2</w:t>
            </w:r>
            <w:r w:rsidRPr="00490A83">
              <w:rPr>
                <w:rFonts w:ascii="Times New Roman" w:hAnsi="Times New Roman" w:cs="Times New Roman"/>
                <w:sz w:val="24"/>
                <w:szCs w:val="24"/>
              </w:rPr>
              <w:t>) and</w:t>
            </w:r>
          </w:p>
          <w:p w14:paraId="28BB08BB" w14:textId="786CB100"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 xml:space="preserve">Himachal Pradesh (4,317 </w:t>
            </w:r>
            <w:r w:rsidR="00F77621" w:rsidRPr="00490A83">
              <w:rPr>
                <w:rFonts w:ascii="Times New Roman" w:hAnsi="Times New Roman" w:cs="Times New Roman"/>
                <w:sz w:val="24"/>
                <w:szCs w:val="24"/>
              </w:rPr>
              <w:t>km</w:t>
            </w:r>
            <w:r w:rsidR="00F77621" w:rsidRPr="001D1EA6">
              <w:rPr>
                <w:rFonts w:ascii="Times New Roman" w:hAnsi="Times New Roman" w:cs="Times New Roman"/>
                <w:sz w:val="24"/>
                <w:szCs w:val="24"/>
                <w:vertAlign w:val="superscript"/>
              </w:rPr>
              <w:t>2</w:t>
            </w:r>
            <w:r w:rsidRPr="00490A83">
              <w:rPr>
                <w:rFonts w:ascii="Times New Roman" w:hAnsi="Times New Roman" w:cs="Times New Roman"/>
                <w:sz w:val="24"/>
                <w:szCs w:val="24"/>
              </w:rPr>
              <w:t>)</w:t>
            </w:r>
          </w:p>
        </w:tc>
        <w:tc>
          <w:tcPr>
            <w:tcW w:w="2930" w:type="dxa"/>
          </w:tcPr>
          <w:p w14:paraId="398DCED6" w14:textId="5EA9247D"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Trivedi et al. (2010)</w:t>
            </w:r>
          </w:p>
        </w:tc>
      </w:tr>
      <w:tr w:rsidR="00CA3834" w:rsidRPr="00490A83" w14:paraId="382BF615" w14:textId="1044BD9D" w:rsidTr="00CA3834">
        <w:tc>
          <w:tcPr>
            <w:tcW w:w="2766" w:type="dxa"/>
          </w:tcPr>
          <w:p w14:paraId="104C5AB6" w14:textId="0F535FE9"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Tributaries</w:t>
            </w:r>
          </w:p>
        </w:tc>
        <w:tc>
          <w:tcPr>
            <w:tcW w:w="3320" w:type="dxa"/>
          </w:tcPr>
          <w:p w14:paraId="319469A3" w14:textId="77777777" w:rsidR="00CA3834" w:rsidRPr="00490A83" w:rsidRDefault="00CA3834" w:rsidP="002E6ED3">
            <w:pPr>
              <w:spacing w:after="0" w:line="276" w:lineRule="auto"/>
              <w:jc w:val="both"/>
              <w:rPr>
                <w:rFonts w:ascii="Times New Roman" w:hAnsi="Times New Roman" w:cs="Times New Roman"/>
                <w:sz w:val="24"/>
                <w:szCs w:val="24"/>
              </w:rPr>
            </w:pPr>
            <w:r w:rsidRPr="00490A83">
              <w:rPr>
                <w:rFonts w:ascii="Times New Roman" w:hAnsi="Times New Roman" w:cs="Times New Roman"/>
                <w:sz w:val="24"/>
                <w:szCs w:val="24"/>
              </w:rPr>
              <w:t>the Kali, the Ramganga, the Yamuna, the Gomti, the Ghaghara, the Gandak and</w:t>
            </w:r>
          </w:p>
          <w:p w14:paraId="5C40ACA4" w14:textId="676A31F3"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the Kosi</w:t>
            </w:r>
            <w:r w:rsidRPr="00490A83">
              <w:rPr>
                <w:rFonts w:ascii="Times New Roman" w:hAnsi="Times New Roman" w:cs="Times New Roman"/>
                <w:sz w:val="24"/>
                <w:szCs w:val="24"/>
              </w:rPr>
              <w:t xml:space="preserve">, </w:t>
            </w:r>
            <w:r w:rsidRPr="00490A83">
              <w:rPr>
                <w:rFonts w:ascii="Times New Roman" w:hAnsi="Times New Roman" w:cs="Times New Roman"/>
                <w:sz w:val="24"/>
                <w:szCs w:val="24"/>
              </w:rPr>
              <w:t>the Tons, the Son, the Damodar and the Kasai-Haldi</w:t>
            </w:r>
            <w:r w:rsidRPr="00490A83">
              <w:rPr>
                <w:rFonts w:ascii="Times New Roman" w:hAnsi="Times New Roman" w:cs="Times New Roman"/>
                <w:sz w:val="24"/>
                <w:szCs w:val="24"/>
              </w:rPr>
              <w:t xml:space="preserve">, </w:t>
            </w:r>
            <w:r w:rsidRPr="00490A83">
              <w:rPr>
                <w:rFonts w:ascii="Times New Roman" w:hAnsi="Times New Roman" w:cs="Times New Roman"/>
                <w:sz w:val="24"/>
                <w:szCs w:val="24"/>
              </w:rPr>
              <w:t>Yamuna</w:t>
            </w:r>
            <w:r w:rsidRPr="00490A83">
              <w:rPr>
                <w:rFonts w:ascii="Times New Roman" w:hAnsi="Times New Roman" w:cs="Times New Roman"/>
                <w:sz w:val="24"/>
                <w:szCs w:val="24"/>
              </w:rPr>
              <w:t>.</w:t>
            </w:r>
          </w:p>
        </w:tc>
        <w:tc>
          <w:tcPr>
            <w:tcW w:w="2930" w:type="dxa"/>
          </w:tcPr>
          <w:p w14:paraId="382AE9A8" w14:textId="6C0850BF"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Trivedi et al. (2010)</w:t>
            </w:r>
          </w:p>
        </w:tc>
      </w:tr>
      <w:tr w:rsidR="00CA3834" w:rsidRPr="00490A83" w14:paraId="46070903" w14:textId="77777777" w:rsidTr="00CA3834">
        <w:tc>
          <w:tcPr>
            <w:tcW w:w="2766" w:type="dxa"/>
          </w:tcPr>
          <w:p w14:paraId="7CEF09DF" w14:textId="5E47BC05"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Soil type</w:t>
            </w:r>
          </w:p>
        </w:tc>
        <w:tc>
          <w:tcPr>
            <w:tcW w:w="3320" w:type="dxa"/>
          </w:tcPr>
          <w:p w14:paraId="795A9D1B" w14:textId="452D4958"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Predominant soil types found in the basin are sand, loam, clay and their combinations, such as sandy loam, loam, silty clay loam and loamy sand soils.</w:t>
            </w:r>
          </w:p>
        </w:tc>
        <w:tc>
          <w:tcPr>
            <w:tcW w:w="2930" w:type="dxa"/>
          </w:tcPr>
          <w:p w14:paraId="244A00A2" w14:textId="023E1603"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Misra (2011)</w:t>
            </w:r>
          </w:p>
        </w:tc>
      </w:tr>
      <w:tr w:rsidR="00CA3834" w:rsidRPr="00490A83" w14:paraId="6FE169F5" w14:textId="77777777" w:rsidTr="00CA3834">
        <w:tc>
          <w:tcPr>
            <w:tcW w:w="2766" w:type="dxa"/>
          </w:tcPr>
          <w:p w14:paraId="29BCB372" w14:textId="677DEF20"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t>Soil Erodibility</w:t>
            </w:r>
          </w:p>
        </w:tc>
        <w:tc>
          <w:tcPr>
            <w:tcW w:w="3320" w:type="dxa"/>
          </w:tcPr>
          <w:p w14:paraId="16828FFD" w14:textId="77777777" w:rsidR="00CA3834" w:rsidRPr="00490A83" w:rsidRDefault="00CA3834" w:rsidP="002E6ED3">
            <w:pPr>
              <w:spacing w:after="0" w:line="276" w:lineRule="auto"/>
              <w:jc w:val="both"/>
              <w:rPr>
                <w:rFonts w:ascii="Times New Roman" w:hAnsi="Times New Roman" w:cs="Times New Roman"/>
                <w:sz w:val="24"/>
                <w:szCs w:val="24"/>
              </w:rPr>
            </w:pPr>
            <w:r w:rsidRPr="00490A83">
              <w:rPr>
                <w:rFonts w:ascii="Times New Roman" w:hAnsi="Times New Roman" w:cs="Times New Roman"/>
                <w:sz w:val="24"/>
                <w:szCs w:val="24"/>
              </w:rPr>
              <w:t>In the Ganga basin, soil erodibility varies:</w:t>
            </w:r>
          </w:p>
          <w:p w14:paraId="29DAA332" w14:textId="77777777" w:rsidR="00CA3834" w:rsidRPr="00490A83" w:rsidRDefault="00CA3834" w:rsidP="002E6ED3">
            <w:pPr>
              <w:spacing w:after="0" w:line="276" w:lineRule="auto"/>
              <w:jc w:val="both"/>
              <w:rPr>
                <w:rFonts w:ascii="Times New Roman" w:hAnsi="Times New Roman" w:cs="Times New Roman"/>
                <w:sz w:val="24"/>
                <w:szCs w:val="24"/>
              </w:rPr>
            </w:pPr>
          </w:p>
          <w:p w14:paraId="43B3772D" w14:textId="77777777" w:rsidR="00CA3834" w:rsidRPr="00490A83" w:rsidRDefault="00CA3834" w:rsidP="002E6ED3">
            <w:pPr>
              <w:pStyle w:val="ListParagraph"/>
              <w:numPr>
                <w:ilvl w:val="0"/>
                <w:numId w:val="2"/>
              </w:numPr>
              <w:spacing w:after="0" w:line="276" w:lineRule="auto"/>
              <w:ind w:left="376"/>
              <w:jc w:val="both"/>
              <w:rPr>
                <w:rFonts w:ascii="Times New Roman" w:hAnsi="Times New Roman" w:cs="Times New Roman"/>
                <w:sz w:val="24"/>
                <w:szCs w:val="24"/>
              </w:rPr>
            </w:pPr>
            <w:r w:rsidRPr="00490A83">
              <w:rPr>
                <w:rFonts w:ascii="Times New Roman" w:hAnsi="Times New Roman" w:cs="Times New Roman"/>
                <w:sz w:val="24"/>
                <w:szCs w:val="24"/>
              </w:rPr>
              <w:t>Mountain, submontane, and alluvial soils (58%) are highly erodible.</w:t>
            </w:r>
          </w:p>
          <w:p w14:paraId="56EFD429" w14:textId="77777777" w:rsidR="00CA3834" w:rsidRPr="00490A83" w:rsidRDefault="00CA3834" w:rsidP="002E6ED3">
            <w:pPr>
              <w:pStyle w:val="ListParagraph"/>
              <w:numPr>
                <w:ilvl w:val="0"/>
                <w:numId w:val="2"/>
              </w:numPr>
              <w:spacing w:after="0" w:line="276" w:lineRule="auto"/>
              <w:ind w:left="376"/>
              <w:jc w:val="both"/>
              <w:rPr>
                <w:rFonts w:ascii="Times New Roman" w:hAnsi="Times New Roman" w:cs="Times New Roman"/>
                <w:sz w:val="24"/>
                <w:szCs w:val="24"/>
              </w:rPr>
            </w:pPr>
            <w:r w:rsidRPr="00490A83">
              <w:rPr>
                <w:rFonts w:ascii="Times New Roman" w:hAnsi="Times New Roman" w:cs="Times New Roman"/>
                <w:sz w:val="24"/>
                <w:szCs w:val="24"/>
              </w:rPr>
              <w:t>Red soils (12%) have high erodibility.</w:t>
            </w:r>
          </w:p>
          <w:p w14:paraId="49AB086E" w14:textId="77777777" w:rsidR="00CA3834" w:rsidRPr="00490A83" w:rsidRDefault="00CA3834" w:rsidP="002E6ED3">
            <w:pPr>
              <w:pStyle w:val="ListParagraph"/>
              <w:numPr>
                <w:ilvl w:val="0"/>
                <w:numId w:val="2"/>
              </w:numPr>
              <w:spacing w:after="0" w:line="276" w:lineRule="auto"/>
              <w:ind w:left="376"/>
              <w:jc w:val="both"/>
              <w:rPr>
                <w:rFonts w:ascii="Times New Roman" w:hAnsi="Times New Roman" w:cs="Times New Roman"/>
                <w:sz w:val="24"/>
                <w:szCs w:val="24"/>
              </w:rPr>
            </w:pPr>
            <w:r w:rsidRPr="00490A83">
              <w:rPr>
                <w:rFonts w:ascii="Times New Roman" w:hAnsi="Times New Roman" w:cs="Times New Roman"/>
                <w:sz w:val="24"/>
                <w:szCs w:val="24"/>
              </w:rPr>
              <w:t>Red &amp; yellow, mixed red &amp; black soils (8%) show moderate erodibility.</w:t>
            </w:r>
          </w:p>
          <w:p w14:paraId="416F2E24" w14:textId="77777777" w:rsidR="00CA3834" w:rsidRPr="00490A83" w:rsidRDefault="00CA3834" w:rsidP="002E6ED3">
            <w:pPr>
              <w:pStyle w:val="ListParagraph"/>
              <w:numPr>
                <w:ilvl w:val="0"/>
                <w:numId w:val="2"/>
              </w:numPr>
              <w:spacing w:after="0" w:line="276" w:lineRule="auto"/>
              <w:ind w:left="376"/>
              <w:jc w:val="both"/>
              <w:rPr>
                <w:rFonts w:ascii="Times New Roman" w:hAnsi="Times New Roman" w:cs="Times New Roman"/>
                <w:sz w:val="24"/>
                <w:szCs w:val="24"/>
              </w:rPr>
            </w:pPr>
            <w:r w:rsidRPr="00490A83">
              <w:rPr>
                <w:rFonts w:ascii="Times New Roman" w:hAnsi="Times New Roman" w:cs="Times New Roman"/>
                <w:sz w:val="24"/>
                <w:szCs w:val="24"/>
              </w:rPr>
              <w:lastRenderedPageBreak/>
              <w:t>Deep black and medium black soils (14%) have low erodibility.</w:t>
            </w:r>
          </w:p>
          <w:p w14:paraId="473CE0F9" w14:textId="6149EE2C" w:rsidR="00CA3834" w:rsidRPr="00490A83" w:rsidRDefault="00CA3834" w:rsidP="002E6ED3">
            <w:pPr>
              <w:pStyle w:val="ListParagraph"/>
              <w:numPr>
                <w:ilvl w:val="0"/>
                <w:numId w:val="2"/>
              </w:numPr>
              <w:spacing w:line="276" w:lineRule="auto"/>
              <w:ind w:left="376"/>
              <w:jc w:val="both"/>
              <w:rPr>
                <w:rFonts w:ascii="Times New Roman" w:hAnsi="Times New Roman" w:cs="Times New Roman"/>
                <w:sz w:val="24"/>
                <w:szCs w:val="24"/>
              </w:rPr>
            </w:pPr>
            <w:r w:rsidRPr="00490A83">
              <w:rPr>
                <w:rFonts w:ascii="Times New Roman" w:hAnsi="Times New Roman" w:cs="Times New Roman"/>
                <w:sz w:val="24"/>
                <w:szCs w:val="24"/>
              </w:rPr>
              <w:t>Shallow black and lateritic soils (6%) have very low erodibility.</w:t>
            </w:r>
          </w:p>
        </w:tc>
        <w:tc>
          <w:tcPr>
            <w:tcW w:w="2930" w:type="dxa"/>
          </w:tcPr>
          <w:p w14:paraId="058F9204" w14:textId="1F10B419" w:rsidR="00CA3834" w:rsidRPr="00490A83" w:rsidRDefault="00CA3834" w:rsidP="002E6ED3">
            <w:pPr>
              <w:spacing w:line="276" w:lineRule="auto"/>
              <w:jc w:val="both"/>
              <w:rPr>
                <w:rFonts w:ascii="Times New Roman" w:hAnsi="Times New Roman" w:cs="Times New Roman"/>
                <w:sz w:val="24"/>
                <w:szCs w:val="24"/>
              </w:rPr>
            </w:pPr>
            <w:r w:rsidRPr="00490A83">
              <w:rPr>
                <w:rFonts w:ascii="Times New Roman" w:hAnsi="Times New Roman" w:cs="Times New Roman"/>
                <w:sz w:val="24"/>
                <w:szCs w:val="24"/>
              </w:rPr>
              <w:lastRenderedPageBreak/>
              <w:t>https://nmcg.nic.in/soil.aspx</w:t>
            </w:r>
          </w:p>
        </w:tc>
      </w:tr>
    </w:tbl>
    <w:p w14:paraId="06A1C1D7" w14:textId="77777777" w:rsidR="00927796" w:rsidRDefault="00927796" w:rsidP="002E6ED3">
      <w:pPr>
        <w:spacing w:line="276" w:lineRule="auto"/>
        <w:jc w:val="both"/>
        <w:rPr>
          <w:rFonts w:ascii="Times New Roman" w:hAnsi="Times New Roman" w:cs="Times New Roman"/>
          <w:sz w:val="24"/>
          <w:szCs w:val="24"/>
        </w:rPr>
      </w:pPr>
    </w:p>
    <w:p w14:paraId="31F1F8D6" w14:textId="1A623D50" w:rsidR="00846C99" w:rsidRPr="00052506" w:rsidRDefault="00F84EFC" w:rsidP="002E6ED3">
      <w:pPr>
        <w:spacing w:line="360" w:lineRule="auto"/>
        <w:jc w:val="both"/>
        <w:rPr>
          <w:rFonts w:ascii="Times New Roman" w:hAnsi="Times New Roman" w:cs="Times New Roman"/>
          <w:sz w:val="24"/>
          <w:szCs w:val="24"/>
        </w:rPr>
      </w:pPr>
      <w:r w:rsidRPr="00490A83">
        <w:rPr>
          <w:rFonts w:ascii="Times New Roman" w:hAnsi="Times New Roman" w:cs="Times New Roman"/>
          <w:sz w:val="24"/>
          <w:szCs w:val="24"/>
        </w:rPr>
        <w:t>Referenc</w:t>
      </w:r>
      <w:r w:rsidR="00052506">
        <w:rPr>
          <w:rFonts w:ascii="Times New Roman" w:hAnsi="Times New Roman" w:cs="Times New Roman"/>
          <w:sz w:val="24"/>
          <w:szCs w:val="24"/>
        </w:rPr>
        <w:t>es</w:t>
      </w:r>
    </w:p>
    <w:p w14:paraId="4D49F105" w14:textId="5CCFFB8B" w:rsidR="00103ED3" w:rsidRPr="00490A83" w:rsidRDefault="00103ED3" w:rsidP="002E6ED3">
      <w:pPr>
        <w:pStyle w:val="ListParagraph"/>
        <w:numPr>
          <w:ilvl w:val="0"/>
          <w:numId w:val="3"/>
        </w:numPr>
        <w:spacing w:line="360" w:lineRule="auto"/>
        <w:jc w:val="both"/>
        <w:rPr>
          <w:rFonts w:ascii="Times New Roman" w:hAnsi="Times New Roman" w:cs="Times New Roman"/>
          <w:sz w:val="24"/>
          <w:szCs w:val="24"/>
        </w:rPr>
      </w:pPr>
      <w:r w:rsidRPr="00490A83">
        <w:rPr>
          <w:rFonts w:ascii="Times New Roman" w:hAnsi="Times New Roman" w:cs="Times New Roman"/>
          <w:sz w:val="24"/>
          <w:szCs w:val="24"/>
        </w:rPr>
        <w:t>GoI (Government of India) 2014 Ganges Basin, Central Water Commission. Ministry of Water Resources, New Delhi, India.</w:t>
      </w:r>
    </w:p>
    <w:p w14:paraId="28B036FE" w14:textId="77777777" w:rsidR="00103ED3" w:rsidRPr="00490A83" w:rsidRDefault="00103ED3" w:rsidP="002E6ED3">
      <w:pPr>
        <w:pStyle w:val="ListParagraph"/>
        <w:numPr>
          <w:ilvl w:val="0"/>
          <w:numId w:val="3"/>
        </w:numPr>
        <w:spacing w:line="360" w:lineRule="auto"/>
        <w:jc w:val="both"/>
        <w:rPr>
          <w:rFonts w:ascii="Times New Roman" w:hAnsi="Times New Roman" w:cs="Times New Roman"/>
          <w:sz w:val="24"/>
          <w:szCs w:val="24"/>
        </w:rPr>
      </w:pPr>
      <w:r w:rsidRPr="00490A83">
        <w:rPr>
          <w:rFonts w:ascii="Times New Roman" w:hAnsi="Times New Roman" w:cs="Times New Roman"/>
          <w:sz w:val="24"/>
          <w:szCs w:val="24"/>
        </w:rPr>
        <w:t xml:space="preserve">Indiawaris </w:t>
      </w:r>
      <w:hyperlink r:id="rId5" w:history="1">
        <w:r w:rsidRPr="00490A83">
          <w:rPr>
            <w:rStyle w:val="Hyperlink"/>
            <w:rFonts w:ascii="Times New Roman" w:hAnsi="Times New Roman" w:cs="Times New Roman"/>
            <w:sz w:val="24"/>
            <w:szCs w:val="24"/>
          </w:rPr>
          <w:t>https://indiawris.gov.in/downloads/Ganga%20Basin.pdf</w:t>
        </w:r>
      </w:hyperlink>
    </w:p>
    <w:p w14:paraId="0B3A7083" w14:textId="77777777" w:rsidR="00103ED3" w:rsidRPr="00490A83" w:rsidRDefault="00103ED3" w:rsidP="002E6ED3">
      <w:pPr>
        <w:pStyle w:val="ListParagraph"/>
        <w:numPr>
          <w:ilvl w:val="0"/>
          <w:numId w:val="3"/>
        </w:numPr>
        <w:spacing w:line="360" w:lineRule="auto"/>
        <w:jc w:val="both"/>
        <w:rPr>
          <w:rFonts w:ascii="Times New Roman" w:hAnsi="Times New Roman" w:cs="Times New Roman"/>
          <w:sz w:val="24"/>
          <w:szCs w:val="24"/>
        </w:rPr>
      </w:pPr>
      <w:r w:rsidRPr="00490A83">
        <w:rPr>
          <w:rFonts w:ascii="Times New Roman" w:hAnsi="Times New Roman" w:cs="Times New Roman"/>
          <w:sz w:val="24"/>
          <w:szCs w:val="24"/>
        </w:rPr>
        <w:t>Kirby, J. M., Ahmad, M. D., Mainuddin, M., Palash,W., Quadir, M. E., Shah-Newaz, S. M. &amp; Hossain,M.M. 2015 The impact of</w:t>
      </w:r>
      <w:r w:rsidRPr="00490A83">
        <w:rPr>
          <w:rFonts w:ascii="Times New Roman" w:hAnsi="Times New Roman" w:cs="Times New Roman"/>
          <w:sz w:val="24"/>
          <w:szCs w:val="24"/>
        </w:rPr>
        <w:t xml:space="preserve"> </w:t>
      </w:r>
      <w:r w:rsidRPr="00490A83">
        <w:rPr>
          <w:rFonts w:ascii="Times New Roman" w:hAnsi="Times New Roman" w:cs="Times New Roman"/>
          <w:sz w:val="24"/>
          <w:szCs w:val="24"/>
        </w:rPr>
        <w:t>irrigation development on regional groundwater resources in Bangladesh. Agricultural Water Management 159, 264–276.</w:t>
      </w:r>
    </w:p>
    <w:p w14:paraId="5BFB1AF1" w14:textId="77777777" w:rsidR="00103ED3" w:rsidRPr="00490A83" w:rsidRDefault="00103ED3" w:rsidP="002E6ED3">
      <w:pPr>
        <w:pStyle w:val="ListParagraph"/>
        <w:numPr>
          <w:ilvl w:val="0"/>
          <w:numId w:val="3"/>
        </w:numPr>
        <w:spacing w:line="360" w:lineRule="auto"/>
        <w:jc w:val="both"/>
        <w:rPr>
          <w:rFonts w:ascii="Times New Roman" w:hAnsi="Times New Roman" w:cs="Times New Roman"/>
          <w:sz w:val="24"/>
          <w:szCs w:val="24"/>
        </w:rPr>
      </w:pPr>
      <w:r w:rsidRPr="00490A83">
        <w:rPr>
          <w:rFonts w:ascii="Times New Roman" w:hAnsi="Times New Roman" w:cs="Times New Roman"/>
          <w:sz w:val="24"/>
          <w:szCs w:val="24"/>
        </w:rPr>
        <w:t>MacDonald, A. M., Bonsor, H. C., Ahmed, K. M., Burgess, W. G., Basharat, M., Calow, R. C., Dixit, A., Foster, S. S. D., Gopal,</w:t>
      </w:r>
      <w:r w:rsidRPr="00490A83">
        <w:rPr>
          <w:rFonts w:ascii="Times New Roman" w:hAnsi="Times New Roman" w:cs="Times New Roman"/>
          <w:sz w:val="24"/>
          <w:szCs w:val="24"/>
        </w:rPr>
        <w:t xml:space="preserve"> </w:t>
      </w:r>
      <w:r w:rsidRPr="00490A83">
        <w:rPr>
          <w:rFonts w:ascii="Times New Roman" w:hAnsi="Times New Roman" w:cs="Times New Roman"/>
          <w:sz w:val="24"/>
          <w:szCs w:val="24"/>
        </w:rPr>
        <w:t>K., Lapworth, D. J., Lark, R. M., Moench, M., Mukherjee, A., Rao, M. S., Shamsudduha, M., Smith, L., Taylor, R. G.,</w:t>
      </w:r>
      <w:r w:rsidRPr="00490A83">
        <w:rPr>
          <w:rFonts w:ascii="Times New Roman" w:hAnsi="Times New Roman" w:cs="Times New Roman"/>
          <w:sz w:val="24"/>
          <w:szCs w:val="24"/>
        </w:rPr>
        <w:t xml:space="preserve"> </w:t>
      </w:r>
      <w:r w:rsidRPr="00490A83">
        <w:rPr>
          <w:rFonts w:ascii="Times New Roman" w:hAnsi="Times New Roman" w:cs="Times New Roman"/>
          <w:sz w:val="24"/>
          <w:szCs w:val="24"/>
        </w:rPr>
        <w:t>Tucker, J., van Steenbergen, F. &amp; Yadav, S. K. 2016 Groundwater quality and depletion in the Indo-Gangetic Basin</w:t>
      </w:r>
      <w:r w:rsidRPr="00490A83">
        <w:rPr>
          <w:rFonts w:ascii="Times New Roman" w:hAnsi="Times New Roman" w:cs="Times New Roman"/>
          <w:sz w:val="24"/>
          <w:szCs w:val="24"/>
        </w:rPr>
        <w:t xml:space="preserve"> </w:t>
      </w:r>
      <w:r w:rsidRPr="00490A83">
        <w:rPr>
          <w:rFonts w:ascii="Times New Roman" w:hAnsi="Times New Roman" w:cs="Times New Roman"/>
          <w:sz w:val="24"/>
          <w:szCs w:val="24"/>
        </w:rPr>
        <w:t>mapped from in situ observations. Nature Geoscience 9</w:t>
      </w:r>
      <w:r w:rsidRPr="00490A83">
        <w:rPr>
          <w:rFonts w:ascii="Times New Roman" w:hAnsi="Times New Roman" w:cs="Times New Roman"/>
          <w:sz w:val="24"/>
          <w:szCs w:val="24"/>
        </w:rPr>
        <w:t>.</w:t>
      </w:r>
    </w:p>
    <w:p w14:paraId="4B458916" w14:textId="77777777" w:rsidR="00103ED3" w:rsidRPr="00490A83" w:rsidRDefault="00103ED3" w:rsidP="002E6ED3">
      <w:pPr>
        <w:pStyle w:val="ListParagraph"/>
        <w:numPr>
          <w:ilvl w:val="0"/>
          <w:numId w:val="3"/>
        </w:numPr>
        <w:spacing w:line="360" w:lineRule="auto"/>
        <w:jc w:val="both"/>
        <w:rPr>
          <w:rFonts w:ascii="Times New Roman" w:hAnsi="Times New Roman" w:cs="Times New Roman"/>
          <w:sz w:val="24"/>
          <w:szCs w:val="24"/>
        </w:rPr>
      </w:pPr>
      <w:r w:rsidRPr="00490A83">
        <w:rPr>
          <w:rFonts w:ascii="Times New Roman" w:hAnsi="Times New Roman" w:cs="Times New Roman"/>
          <w:sz w:val="24"/>
          <w:szCs w:val="24"/>
        </w:rPr>
        <w:t>Misra, A. K. (2011). Impact of urbanization on the hydrology of Ganga Basin (India). Water resources management, 25, 705-719.</w:t>
      </w:r>
    </w:p>
    <w:p w14:paraId="45A8DC4C" w14:textId="77777777" w:rsidR="00103ED3" w:rsidRDefault="00103ED3" w:rsidP="002E6ED3">
      <w:pPr>
        <w:pStyle w:val="ListParagraph"/>
        <w:numPr>
          <w:ilvl w:val="0"/>
          <w:numId w:val="3"/>
        </w:numPr>
        <w:spacing w:line="360" w:lineRule="auto"/>
        <w:jc w:val="both"/>
        <w:rPr>
          <w:rFonts w:ascii="Times New Roman" w:hAnsi="Times New Roman" w:cs="Times New Roman"/>
          <w:sz w:val="24"/>
          <w:szCs w:val="24"/>
        </w:rPr>
      </w:pPr>
      <w:r w:rsidRPr="00490A83">
        <w:rPr>
          <w:rFonts w:ascii="Times New Roman" w:hAnsi="Times New Roman" w:cs="Times New Roman"/>
          <w:sz w:val="24"/>
          <w:szCs w:val="24"/>
        </w:rPr>
        <w:t xml:space="preserve">National Mission for clean ganga. </w:t>
      </w:r>
      <w:hyperlink r:id="rId6" w:history="1">
        <w:r w:rsidRPr="00490A83">
          <w:rPr>
            <w:rStyle w:val="Hyperlink"/>
            <w:rFonts w:ascii="Times New Roman" w:hAnsi="Times New Roman" w:cs="Times New Roman"/>
            <w:sz w:val="24"/>
            <w:szCs w:val="24"/>
          </w:rPr>
          <w:t>https://nmcg.nic.in/soil.aspx</w:t>
        </w:r>
      </w:hyperlink>
    </w:p>
    <w:p w14:paraId="1A8CB872" w14:textId="1DB50EDD" w:rsidR="0087358C" w:rsidRPr="00490A83" w:rsidRDefault="0087358C" w:rsidP="002E6ED3">
      <w:pPr>
        <w:pStyle w:val="ListParagraph"/>
        <w:numPr>
          <w:ilvl w:val="0"/>
          <w:numId w:val="3"/>
        </w:numPr>
        <w:spacing w:line="360" w:lineRule="auto"/>
        <w:jc w:val="both"/>
        <w:rPr>
          <w:rFonts w:ascii="Times New Roman" w:hAnsi="Times New Roman" w:cs="Times New Roman"/>
          <w:sz w:val="24"/>
          <w:szCs w:val="24"/>
        </w:rPr>
      </w:pPr>
      <w:r w:rsidRPr="0087358C">
        <w:rPr>
          <w:rFonts w:ascii="Times New Roman" w:hAnsi="Times New Roman" w:cs="Times New Roman"/>
          <w:sz w:val="24"/>
          <w:szCs w:val="24"/>
        </w:rPr>
        <w:t>Surinaidu, L., Amarasinghe, U., Maheswaran, R., &amp; Nandan, M. J. (2020). Assessment of long-term hydrogeological changes and plausible solutions to manage hydrological extremes in the transnational Ganga river basin. h2oj, 3(1), 457-480.</w:t>
      </w:r>
    </w:p>
    <w:p w14:paraId="7A181823" w14:textId="77777777" w:rsidR="00103ED3" w:rsidRPr="00490A83" w:rsidRDefault="00103ED3" w:rsidP="002E6ED3">
      <w:pPr>
        <w:pStyle w:val="ListParagraph"/>
        <w:numPr>
          <w:ilvl w:val="0"/>
          <w:numId w:val="3"/>
        </w:numPr>
        <w:spacing w:line="360" w:lineRule="auto"/>
        <w:jc w:val="both"/>
        <w:rPr>
          <w:rFonts w:ascii="Times New Roman" w:hAnsi="Times New Roman" w:cs="Times New Roman"/>
          <w:color w:val="131413"/>
          <w:kern w:val="0"/>
          <w:sz w:val="24"/>
          <w:szCs w:val="24"/>
        </w:rPr>
      </w:pPr>
      <w:r w:rsidRPr="00490A83">
        <w:rPr>
          <w:rFonts w:ascii="Times New Roman" w:hAnsi="Times New Roman" w:cs="Times New Roman"/>
          <w:color w:val="131413"/>
          <w:kern w:val="0"/>
          <w:sz w:val="24"/>
          <w:szCs w:val="24"/>
        </w:rPr>
        <w:t>Trivedi, R. C. (2010). Water quality of the Ganga River–an overview. Aquatic Ecosystem Health &amp; Management, 13(4), 347-351.</w:t>
      </w:r>
    </w:p>
    <w:p w14:paraId="0962F054" w14:textId="77777777" w:rsidR="00103ED3" w:rsidRPr="00490A83" w:rsidRDefault="00103ED3" w:rsidP="002E6ED3">
      <w:pPr>
        <w:pStyle w:val="ListParagraph"/>
        <w:numPr>
          <w:ilvl w:val="0"/>
          <w:numId w:val="3"/>
        </w:numPr>
        <w:spacing w:line="360" w:lineRule="auto"/>
        <w:jc w:val="both"/>
        <w:rPr>
          <w:rFonts w:ascii="Times New Roman" w:hAnsi="Times New Roman" w:cs="Times New Roman"/>
          <w:sz w:val="24"/>
          <w:szCs w:val="24"/>
        </w:rPr>
      </w:pPr>
      <w:r w:rsidRPr="00490A83">
        <w:rPr>
          <w:rFonts w:ascii="Times New Roman" w:hAnsi="Times New Roman" w:cs="Times New Roman"/>
          <w:sz w:val="24"/>
          <w:szCs w:val="24"/>
        </w:rPr>
        <w:t>Zakwan, M., &amp; Ahmad, Z. (2021). Trend analysis of hydrological parameters of Ganga River. Arabian Journal of Geosciences, 14, 1-15.</w:t>
      </w:r>
    </w:p>
    <w:p w14:paraId="34D48494" w14:textId="77777777" w:rsidR="00F84EFC" w:rsidRPr="00490A83" w:rsidRDefault="00F84EFC" w:rsidP="002E6ED3">
      <w:pPr>
        <w:spacing w:line="276" w:lineRule="auto"/>
        <w:jc w:val="both"/>
        <w:rPr>
          <w:rFonts w:ascii="Times New Roman" w:hAnsi="Times New Roman" w:cs="Times New Roman"/>
          <w:sz w:val="24"/>
          <w:szCs w:val="24"/>
        </w:rPr>
      </w:pPr>
    </w:p>
    <w:p w14:paraId="6E8FD359" w14:textId="77777777" w:rsidR="00F84EFC" w:rsidRPr="00490A83" w:rsidRDefault="00F84EFC" w:rsidP="002E6ED3">
      <w:pPr>
        <w:spacing w:line="276" w:lineRule="auto"/>
        <w:jc w:val="both"/>
        <w:rPr>
          <w:rFonts w:ascii="Times New Roman" w:hAnsi="Times New Roman" w:cs="Times New Roman"/>
          <w:sz w:val="24"/>
          <w:szCs w:val="24"/>
        </w:rPr>
      </w:pPr>
    </w:p>
    <w:sectPr w:rsidR="00F84EFC" w:rsidRPr="00490A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710D71"/>
    <w:multiLevelType w:val="hybridMultilevel"/>
    <w:tmpl w:val="D466D2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18A0263"/>
    <w:multiLevelType w:val="multilevel"/>
    <w:tmpl w:val="7214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C14DD1"/>
    <w:multiLevelType w:val="hybridMultilevel"/>
    <w:tmpl w:val="0EF2D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1456055">
    <w:abstractNumId w:val="1"/>
  </w:num>
  <w:num w:numId="2" w16cid:durableId="190343087">
    <w:abstractNumId w:val="2"/>
  </w:num>
  <w:num w:numId="3" w16cid:durableId="1568801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800"/>
    <w:rsid w:val="00052506"/>
    <w:rsid w:val="000C4C65"/>
    <w:rsid w:val="00103ED3"/>
    <w:rsid w:val="001C4392"/>
    <w:rsid w:val="001D1EA6"/>
    <w:rsid w:val="002B50BD"/>
    <w:rsid w:val="002E6ED3"/>
    <w:rsid w:val="003F04C3"/>
    <w:rsid w:val="00400511"/>
    <w:rsid w:val="00411828"/>
    <w:rsid w:val="00490A83"/>
    <w:rsid w:val="004D341E"/>
    <w:rsid w:val="00555749"/>
    <w:rsid w:val="006537AC"/>
    <w:rsid w:val="006A013B"/>
    <w:rsid w:val="00846C99"/>
    <w:rsid w:val="0087358C"/>
    <w:rsid w:val="008E05C7"/>
    <w:rsid w:val="00927796"/>
    <w:rsid w:val="0095289D"/>
    <w:rsid w:val="009C3653"/>
    <w:rsid w:val="00A45AB1"/>
    <w:rsid w:val="00A872CA"/>
    <w:rsid w:val="00B27F40"/>
    <w:rsid w:val="00B80165"/>
    <w:rsid w:val="00BF644B"/>
    <w:rsid w:val="00C259F2"/>
    <w:rsid w:val="00CA3834"/>
    <w:rsid w:val="00CC0B27"/>
    <w:rsid w:val="00D01CED"/>
    <w:rsid w:val="00D83800"/>
    <w:rsid w:val="00DA6573"/>
    <w:rsid w:val="00DE086E"/>
    <w:rsid w:val="00E502E0"/>
    <w:rsid w:val="00ED67F9"/>
    <w:rsid w:val="00F77621"/>
    <w:rsid w:val="00F84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938D0"/>
  <w15:chartTrackingRefBased/>
  <w15:docId w15:val="{737D41C2-D019-4367-B8A1-3998857C0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77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4C65"/>
    <w:pPr>
      <w:ind w:left="720"/>
      <w:contextualSpacing/>
    </w:pPr>
  </w:style>
  <w:style w:type="character" w:styleId="Hyperlink">
    <w:name w:val="Hyperlink"/>
    <w:basedOn w:val="DefaultParagraphFont"/>
    <w:uiPriority w:val="99"/>
    <w:unhideWhenUsed/>
    <w:rsid w:val="00F84EFC"/>
    <w:rPr>
      <w:color w:val="0563C1" w:themeColor="hyperlink"/>
      <w:u w:val="single"/>
    </w:rPr>
  </w:style>
  <w:style w:type="character" w:styleId="UnresolvedMention">
    <w:name w:val="Unresolved Mention"/>
    <w:basedOn w:val="DefaultParagraphFont"/>
    <w:uiPriority w:val="99"/>
    <w:semiHidden/>
    <w:unhideWhenUsed/>
    <w:rsid w:val="00F84E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374272">
      <w:bodyDiv w:val="1"/>
      <w:marLeft w:val="0"/>
      <w:marRight w:val="0"/>
      <w:marTop w:val="0"/>
      <w:marBottom w:val="0"/>
      <w:divBdr>
        <w:top w:val="none" w:sz="0" w:space="0" w:color="auto"/>
        <w:left w:val="none" w:sz="0" w:space="0" w:color="auto"/>
        <w:bottom w:val="none" w:sz="0" w:space="0" w:color="auto"/>
        <w:right w:val="none" w:sz="0" w:space="0" w:color="auto"/>
      </w:divBdr>
    </w:div>
    <w:div w:id="1914512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mcg.nic.in/soil.aspx" TargetMode="External"/><Relationship Id="rId5" Type="http://schemas.openxmlformats.org/officeDocument/2006/relationships/hyperlink" Target="https://indiawris.gov.in/downloads/Ganga%20Basi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3</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Deoli</dc:creator>
  <cp:keywords/>
  <dc:description/>
  <cp:lastModifiedBy>Vaibhav Deoli</cp:lastModifiedBy>
  <cp:revision>36</cp:revision>
  <dcterms:created xsi:type="dcterms:W3CDTF">2023-11-07T06:36:00Z</dcterms:created>
  <dcterms:modified xsi:type="dcterms:W3CDTF">2023-11-07T11:37:00Z</dcterms:modified>
</cp:coreProperties>
</file>