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D8" w:rsidRPr="005154DB" w:rsidRDefault="00B328D8" w:rsidP="00701B64">
      <w:pPr>
        <w:pStyle w:val="Title"/>
      </w:pPr>
      <w:bookmarkStart w:id="0" w:name="_Toc274395599"/>
      <w:r w:rsidRPr="00341874">
        <w:t>Reb</w:t>
      </w:r>
      <w:bookmarkStart w:id="1" w:name="_GoBack"/>
      <w:bookmarkEnd w:id="1"/>
      <w:r w:rsidRPr="00341874">
        <w:t>rand Campaign</w:t>
      </w:r>
    </w:p>
    <w:p w:rsidR="00B328D8" w:rsidRPr="006C4B4E" w:rsidRDefault="00B328D8" w:rsidP="00341874">
      <w:pPr>
        <w:pStyle w:val="NoSpacing"/>
        <w:spacing w:before="240" w:after="960"/>
        <w:jc w:val="center"/>
      </w:pPr>
      <w:r>
        <w:rPr>
          <w:noProof/>
          <w:lang w:val="en-CA" w:eastAsia="en-CA"/>
        </w:rPr>
        <w:drawing>
          <wp:inline distT="0" distB="0" distL="0" distR="0" wp14:anchorId="682A4FD8" wp14:editId="3A460DB3">
            <wp:extent cx="3183148" cy="31529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am_Horizont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8061" cy="317759"/>
                    </a:xfrm>
                    <a:prstGeom prst="rect">
                      <a:avLst/>
                    </a:prstGeom>
                  </pic:spPr>
                </pic:pic>
              </a:graphicData>
            </a:graphic>
          </wp:inline>
        </w:drawing>
      </w:r>
    </w:p>
    <w:p w:rsidR="000A43F4" w:rsidRDefault="000A43F4" w:rsidP="00FC7255">
      <w:pPr>
        <w:sectPr w:rsidR="000A43F4" w:rsidSect="00F47D2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rsidR="00D32D91" w:rsidRDefault="004F7E90" w:rsidP="00FC7255">
      <w:r>
        <w:lastRenderedPageBreak/>
        <w:t xml:space="preserve">Our </w:t>
      </w:r>
      <w:r w:rsidR="00D32D91">
        <w:t xml:space="preserve">international </w:t>
      </w:r>
      <w:r w:rsidR="002671CF">
        <w:t xml:space="preserve">office expansion has </w:t>
      </w:r>
      <w:r w:rsidR="00D32D91">
        <w:t xml:space="preserve">brought several exciting new changes to Fabrikam. </w:t>
      </w:r>
      <w:r w:rsidR="00C271E0">
        <w:t>Along with our new ability to reach a global market, o</w:t>
      </w:r>
      <w:r w:rsidR="002671CF">
        <w:t>ur new line of products and services have become the</w:t>
      </w:r>
      <w:r w:rsidR="00776414">
        <w:t xml:space="preserve"> driving force behind our </w:t>
      </w:r>
      <w:r w:rsidR="002671CF">
        <w:t>rebrand campaign</w:t>
      </w:r>
      <w:r w:rsidR="00776414">
        <w:t xml:space="preserve">. </w:t>
      </w:r>
      <w:r w:rsidR="00CC036E">
        <w:t>W</w:t>
      </w:r>
      <w:r w:rsidR="00D32D91">
        <w:t xml:space="preserve">e need a greater sense of brand unity </w:t>
      </w:r>
      <w:r w:rsidR="00CC036E">
        <w:t>across our organization along with a</w:t>
      </w:r>
      <w:r w:rsidR="007F2932">
        <w:t>n</w:t>
      </w:r>
      <w:r w:rsidR="00CC036E">
        <w:t xml:space="preserve"> updated </w:t>
      </w:r>
      <w:r w:rsidR="007F2932">
        <w:t xml:space="preserve">corporate </w:t>
      </w:r>
      <w:r w:rsidR="001D1480">
        <w:t xml:space="preserve">identity that’s more consistent with our growing global industry. </w:t>
      </w:r>
    </w:p>
    <w:p w:rsidR="00C545AE" w:rsidRDefault="00C545AE" w:rsidP="00726FFE">
      <w:pPr>
        <w:keepNext/>
      </w:pPr>
      <w:r>
        <w:t xml:space="preserve">Our brand campaign consists of three primary aspects: a new logo, new brand colors, and a continued strive for nature friendly buildings and product manufacturing. </w:t>
      </w:r>
    </w:p>
    <w:p w:rsidR="00B87D32" w:rsidRDefault="00B87D32" w:rsidP="00726FFE">
      <w:pPr>
        <w:keepNext/>
      </w:pPr>
      <w:r>
        <w:rPr>
          <w:noProof/>
          <w:lang w:val="en-CA" w:eastAsia="en-CA"/>
        </w:rPr>
        <w:drawing>
          <wp:inline distT="0" distB="0" distL="0" distR="0" wp14:anchorId="2C886C03" wp14:editId="08A47CB8">
            <wp:extent cx="5895975" cy="1266825"/>
            <wp:effectExtent l="0" t="0" r="28575"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B683B" w:rsidRPr="00A30709" w:rsidRDefault="00EB683B" w:rsidP="006358B1">
      <w:pPr>
        <w:pStyle w:val="Heading1"/>
      </w:pPr>
      <w:r>
        <w:t>New Logo</w:t>
      </w:r>
    </w:p>
    <w:p w:rsidR="009E478D" w:rsidRDefault="00AE1D35" w:rsidP="00C569B0">
      <w:r>
        <w:t xml:space="preserve">Our research team determined the key to other successful rebrand campaigns was logo simplicity and familiarity. </w:t>
      </w:r>
      <w:r w:rsidR="009C72C8">
        <w:t xml:space="preserve">To test that research, our marketing team created five proposed logos that were presented to focus groups </w:t>
      </w:r>
      <w:r w:rsidR="00F8480A">
        <w:t xml:space="preserve">familiar with our current branding </w:t>
      </w:r>
      <w:r w:rsidR="009C72C8">
        <w:t xml:space="preserve">throughout our markets. Three of the proposed logos were comprised of a dramatic new look and the other two, a </w:t>
      </w:r>
      <w:r w:rsidR="00006013">
        <w:t xml:space="preserve">simplified version of our old one. </w:t>
      </w:r>
      <w:r w:rsidR="00C97E34">
        <w:t xml:space="preserve">Our focus group results confirmed our research analysis and </w:t>
      </w:r>
      <w:r w:rsidR="009B4E48">
        <w:t xml:space="preserve">key elements of our old logo have been maintained in order to </w:t>
      </w:r>
      <w:r w:rsidR="0058312C">
        <w:t>preserve</w:t>
      </w:r>
      <w:r w:rsidR="00006013">
        <w:t xml:space="preserve"> </w:t>
      </w:r>
      <w:r w:rsidR="009B4E48">
        <w:t>a</w:t>
      </w:r>
      <w:r w:rsidR="00006013">
        <w:t xml:space="preserve"> sense of familiarity for our loyal customers. </w:t>
      </w:r>
    </w:p>
    <w:p w:rsidR="0094570F" w:rsidRDefault="00196DBC" w:rsidP="00C238A7">
      <w:r>
        <w:t>Along with our traditional vertical logo, we’ve</w:t>
      </w:r>
      <w:r w:rsidR="0094570F">
        <w:t xml:space="preserve"> </w:t>
      </w:r>
      <w:r>
        <w:t>add</w:t>
      </w:r>
      <w:r w:rsidR="0094570F">
        <w:t xml:space="preserve"> a new horizontal logo</w:t>
      </w:r>
      <w:r w:rsidR="00A0356E">
        <w:t xml:space="preserve">. </w:t>
      </w:r>
      <w:r w:rsidR="008C1C68">
        <w:t xml:space="preserve">As we are still in the process of </w:t>
      </w:r>
      <w:r w:rsidR="007F6F8F">
        <w:t>rolling out our new brand, p</w:t>
      </w:r>
      <w:r w:rsidR="008C1C68">
        <w:t xml:space="preserve">lease see our team site for </w:t>
      </w:r>
      <w:r w:rsidR="007F6F8F">
        <w:t xml:space="preserve">guidelines on new logo usage. </w:t>
      </w:r>
    </w:p>
    <w:p w:rsidR="00EF0031" w:rsidRDefault="00EF0031" w:rsidP="00AA1A8A">
      <w:pPr>
        <w:pStyle w:val="Graphic"/>
      </w:pPr>
      <w:r>
        <w:rPr>
          <w:lang w:val="en-CA" w:eastAsia="en-CA"/>
        </w:rPr>
        <w:drawing>
          <wp:inline distT="0" distB="0" distL="0" distR="0" wp14:anchorId="29515937" wp14:editId="30D85990">
            <wp:extent cx="1200150" cy="34135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40540" cy="352840"/>
                    </a:xfrm>
                    <a:prstGeom prst="rect">
                      <a:avLst/>
                    </a:prstGeom>
                  </pic:spPr>
                </pic:pic>
              </a:graphicData>
            </a:graphic>
          </wp:inline>
        </w:drawing>
      </w:r>
    </w:p>
    <w:p w:rsidR="00F43895" w:rsidRPr="00F43895" w:rsidRDefault="00F43895" w:rsidP="00F43895">
      <w:pPr>
        <w:pStyle w:val="Caption"/>
      </w:pPr>
      <w:r w:rsidRPr="00F43895">
        <w:t>Vertical logo</w:t>
      </w:r>
    </w:p>
    <w:p w:rsidR="00EF0031" w:rsidRDefault="00EF0031" w:rsidP="00AA1A8A">
      <w:pPr>
        <w:pStyle w:val="Graphic"/>
      </w:pPr>
      <w:r w:rsidRPr="00AA1A8A">
        <w:rPr>
          <w:lang w:val="en-CA" w:eastAsia="en-CA"/>
        </w:rPr>
        <w:drawing>
          <wp:inline distT="0" distB="0" distL="0" distR="0" wp14:anchorId="76F0C732" wp14:editId="0E16B9DC">
            <wp:extent cx="2019300" cy="1999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am_Horizont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1843" cy="214104"/>
                    </a:xfrm>
                    <a:prstGeom prst="rect">
                      <a:avLst/>
                    </a:prstGeom>
                  </pic:spPr>
                </pic:pic>
              </a:graphicData>
            </a:graphic>
          </wp:inline>
        </w:drawing>
      </w:r>
    </w:p>
    <w:p w:rsidR="00F43895" w:rsidRDefault="00F43895" w:rsidP="00F43895">
      <w:pPr>
        <w:pStyle w:val="Caption"/>
      </w:pPr>
      <w:r>
        <w:t>Horizontal logo</w:t>
      </w:r>
    </w:p>
    <w:p w:rsidR="00B87D32" w:rsidRDefault="005563ED" w:rsidP="006358B1">
      <w:pPr>
        <w:pStyle w:val="Heading1"/>
      </w:pPr>
      <w:r w:rsidRPr="008C1C68">
        <w:t>Brand Colors</w:t>
      </w:r>
    </w:p>
    <w:p w:rsidR="00137447" w:rsidRDefault="00F8480A" w:rsidP="00CE45A0">
      <w:r>
        <w:t xml:space="preserve">Another set of </w:t>
      </w:r>
      <w:r w:rsidR="00ED4B67">
        <w:t xml:space="preserve">focus groups </w:t>
      </w:r>
      <w:r w:rsidR="00B971F4">
        <w:t xml:space="preserve">were conducted to determine our new colors. These groups were not informed </w:t>
      </w:r>
      <w:r w:rsidR="004F7E90">
        <w:t xml:space="preserve">of our company and </w:t>
      </w:r>
      <w:r w:rsidR="00B971F4">
        <w:t>were given a brief overview of our new international products and services</w:t>
      </w:r>
      <w:r w:rsidR="00FC7255">
        <w:t>.</w:t>
      </w:r>
    </w:p>
    <w:p w:rsidR="001E46D1" w:rsidRDefault="00010B08" w:rsidP="00FC7255">
      <w:r>
        <w:rPr>
          <w:noProof/>
          <w:lang w:val="en-CA" w:eastAsia="en-CA"/>
        </w:rPr>
        <w:lastRenderedPageBreak/>
        <w:drawing>
          <wp:anchor distT="0" distB="0" distL="114300" distR="114300" simplePos="0" relativeHeight="251663360" behindDoc="0" locked="0" layoutInCell="1" allowOverlap="1" wp14:anchorId="18E4E798" wp14:editId="20956E50">
            <wp:simplePos x="0" y="0"/>
            <wp:positionH relativeFrom="margin">
              <wp:posOffset>0</wp:posOffset>
            </wp:positionH>
            <wp:positionV relativeFrom="paragraph">
              <wp:posOffset>635</wp:posOffset>
            </wp:positionV>
            <wp:extent cx="2941320" cy="18726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941320" cy="1872615"/>
                    </a:xfrm>
                    <a:prstGeom prst="rect">
                      <a:avLst/>
                    </a:prstGeom>
                    <a:noFill/>
                  </pic:spPr>
                </pic:pic>
              </a:graphicData>
            </a:graphic>
            <wp14:sizeRelH relativeFrom="margin">
              <wp14:pctWidth>0</wp14:pctWidth>
            </wp14:sizeRelH>
            <wp14:sizeRelV relativeFrom="margin">
              <wp14:pctHeight>0</wp14:pctHeight>
            </wp14:sizeRelV>
          </wp:anchor>
        </w:drawing>
      </w:r>
      <w:r w:rsidR="006779BA">
        <w:t xml:space="preserve">As expected, </w:t>
      </w:r>
      <w:r w:rsidR="00ED4B67">
        <w:t xml:space="preserve">the vivid colors </w:t>
      </w:r>
      <w:r>
        <w:t>in</w:t>
      </w:r>
      <w:r w:rsidR="00137447">
        <w:t xml:space="preserve"> Group A </w:t>
      </w:r>
      <w:r w:rsidR="00ED4B67">
        <w:t xml:space="preserve">were </w:t>
      </w:r>
      <w:r w:rsidR="00BC082F">
        <w:t xml:space="preserve">well received in </w:t>
      </w:r>
      <w:r w:rsidR="00ED4B67">
        <w:t xml:space="preserve">our </w:t>
      </w:r>
      <w:r w:rsidR="00BC082F">
        <w:t>East</w:t>
      </w:r>
      <w:r w:rsidR="00ED4B67">
        <w:t xml:space="preserve"> Asian </w:t>
      </w:r>
      <w:r w:rsidR="00BC082F">
        <w:t>focus groups</w:t>
      </w:r>
      <w:r w:rsidR="006779BA">
        <w:t xml:space="preserve">. But unexpectedly, </w:t>
      </w:r>
      <w:r w:rsidR="00BC082F">
        <w:t xml:space="preserve">those in other regions </w:t>
      </w:r>
      <w:r w:rsidR="001E46D1">
        <w:t xml:space="preserve">preferred </w:t>
      </w:r>
      <w:r w:rsidR="00EA2C42">
        <w:t xml:space="preserve">the </w:t>
      </w:r>
      <w:r w:rsidR="00007E86">
        <w:t xml:space="preserve">familiar </w:t>
      </w:r>
      <w:r w:rsidR="00EA2C42">
        <w:t xml:space="preserve">blue and green tones of </w:t>
      </w:r>
      <w:r w:rsidR="00007E86">
        <w:t xml:space="preserve">our old brand colors </w:t>
      </w:r>
      <w:r>
        <w:t>in</w:t>
      </w:r>
      <w:r w:rsidR="00007E86">
        <w:t xml:space="preserve"> </w:t>
      </w:r>
      <w:r w:rsidR="001E46D1">
        <w:t>Group D</w:t>
      </w:r>
      <w:r w:rsidR="00007E86">
        <w:t xml:space="preserve">. </w:t>
      </w:r>
      <w:r w:rsidR="00F8480A">
        <w:t xml:space="preserve">Considering the focus group participants </w:t>
      </w:r>
      <w:r w:rsidR="007C2158">
        <w:t xml:space="preserve">were introduced only to a product overview and not our company, this was indeed an interesting discovery. </w:t>
      </w:r>
    </w:p>
    <w:p w:rsidR="00FC7255" w:rsidRPr="00EF6107" w:rsidRDefault="00FC7255" w:rsidP="00FC7255">
      <w:r>
        <w:t>In order to appeal to all markets, our research team conducted a second focus group for our East Asian markets using color combinations from Groups A and D. Of the choices, fuchsia pink and turquoise were both well received. After careful consideration of all focus group results, we’ve elected to retain the majority of our old colors and introduce turquoise. We believe we’ve successfully achieved our branding goal of simplicity and familiarity while establishing a fresh new look.</w:t>
      </w:r>
    </w:p>
    <w:p w:rsidR="006E57E2" w:rsidRDefault="00356961" w:rsidP="002D0F80">
      <w:pPr>
        <w:jc w:val="center"/>
      </w:pPr>
      <w:r>
        <w:rPr>
          <w:noProof/>
          <w:lang w:val="en-CA" w:eastAsia="en-CA"/>
        </w:rPr>
        <w:drawing>
          <wp:inline distT="0" distB="0" distL="0" distR="0" wp14:anchorId="1FB5C077" wp14:editId="1AA5610F">
            <wp:extent cx="4934310" cy="2803585"/>
            <wp:effectExtent l="0" t="0" r="0" b="158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bl>
      <w:tblPr>
        <w:tblStyle w:val="ListTable4-Accent2"/>
        <w:tblW w:w="9355" w:type="dxa"/>
        <w:tblLayout w:type="fixed"/>
        <w:tblLook w:val="0420" w:firstRow="1" w:lastRow="0" w:firstColumn="0" w:lastColumn="0" w:noHBand="0" w:noVBand="1"/>
      </w:tblPr>
      <w:tblGrid>
        <w:gridCol w:w="1241"/>
        <w:gridCol w:w="1904"/>
        <w:gridCol w:w="1341"/>
        <w:gridCol w:w="1623"/>
        <w:gridCol w:w="1623"/>
        <w:gridCol w:w="1623"/>
      </w:tblGrid>
      <w:tr w:rsidR="00EF6107" w:rsidRPr="009A3D51" w:rsidTr="001E2AA7">
        <w:trPr>
          <w:cnfStyle w:val="100000000000" w:firstRow="1" w:lastRow="0" w:firstColumn="0" w:lastColumn="0" w:oddVBand="0" w:evenVBand="0" w:oddHBand="0" w:evenHBand="0" w:firstRowFirstColumn="0" w:firstRowLastColumn="0" w:lastRowFirstColumn="0" w:lastRowLastColumn="0"/>
          <w:trHeight w:val="290"/>
        </w:trPr>
        <w:tc>
          <w:tcPr>
            <w:tcW w:w="1241" w:type="dxa"/>
          </w:tcPr>
          <w:p w:rsidR="00EF6107" w:rsidRPr="009A3D51" w:rsidRDefault="00EF6107" w:rsidP="001E2AA7">
            <w:r w:rsidRPr="009A3D51">
              <w:t>Group</w:t>
            </w:r>
          </w:p>
        </w:tc>
        <w:tc>
          <w:tcPr>
            <w:tcW w:w="1904" w:type="dxa"/>
          </w:tcPr>
          <w:p w:rsidR="00EF6107" w:rsidRPr="009A3D51" w:rsidRDefault="00EF6107" w:rsidP="001E2AA7">
            <w:pPr>
              <w:jc w:val="center"/>
            </w:pPr>
            <w:r w:rsidRPr="009A3D51">
              <w:t>Strongly Disagree</w:t>
            </w:r>
          </w:p>
        </w:tc>
        <w:tc>
          <w:tcPr>
            <w:tcW w:w="1341" w:type="dxa"/>
          </w:tcPr>
          <w:p w:rsidR="00EF6107" w:rsidRPr="009A3D51" w:rsidRDefault="00EF6107" w:rsidP="001E2AA7">
            <w:pPr>
              <w:jc w:val="center"/>
            </w:pPr>
            <w:r w:rsidRPr="009A3D51">
              <w:t>Disagree</w:t>
            </w:r>
          </w:p>
        </w:tc>
        <w:tc>
          <w:tcPr>
            <w:tcW w:w="1623" w:type="dxa"/>
          </w:tcPr>
          <w:p w:rsidR="00EF6107" w:rsidRPr="009A3D51" w:rsidRDefault="00EF6107" w:rsidP="001E2AA7">
            <w:pPr>
              <w:jc w:val="center"/>
            </w:pPr>
            <w:r w:rsidRPr="009A3D51">
              <w:t>Neutral</w:t>
            </w:r>
          </w:p>
        </w:tc>
        <w:tc>
          <w:tcPr>
            <w:tcW w:w="1623" w:type="dxa"/>
          </w:tcPr>
          <w:p w:rsidR="00EF6107" w:rsidRPr="009A3D51" w:rsidRDefault="00EF6107" w:rsidP="001E2AA7">
            <w:pPr>
              <w:jc w:val="center"/>
            </w:pPr>
            <w:r w:rsidRPr="009A3D51">
              <w:t>Agree</w:t>
            </w:r>
          </w:p>
        </w:tc>
        <w:tc>
          <w:tcPr>
            <w:tcW w:w="1623" w:type="dxa"/>
          </w:tcPr>
          <w:p w:rsidR="00EF6107" w:rsidRPr="009A3D51" w:rsidRDefault="00EF6107" w:rsidP="001E2AA7">
            <w:pPr>
              <w:jc w:val="center"/>
            </w:pPr>
            <w:r w:rsidRPr="009A3D51">
              <w:t>Strongly Agree</w:t>
            </w:r>
          </w:p>
        </w:tc>
      </w:tr>
      <w:tr w:rsidR="00EF6107" w:rsidTr="001E2AA7">
        <w:trPr>
          <w:cnfStyle w:val="000000100000" w:firstRow="0" w:lastRow="0" w:firstColumn="0" w:lastColumn="0" w:oddVBand="0" w:evenVBand="0" w:oddHBand="1" w:evenHBand="0" w:firstRowFirstColumn="0" w:firstRowLastColumn="0" w:lastRowFirstColumn="0" w:lastRowLastColumn="0"/>
          <w:trHeight w:val="290"/>
        </w:trPr>
        <w:tc>
          <w:tcPr>
            <w:tcW w:w="1241" w:type="dxa"/>
          </w:tcPr>
          <w:p w:rsidR="00EF6107" w:rsidRDefault="00EF6107" w:rsidP="001E2AA7">
            <w:pPr>
              <w:autoSpaceDE w:val="0"/>
              <w:autoSpaceDN w:val="0"/>
              <w:adjustRightInd w:val="0"/>
              <w:rPr>
                <w:rFonts w:ascii="Calibri" w:hAnsi="Calibri" w:cs="Calibri"/>
                <w:color w:val="000000"/>
              </w:rPr>
            </w:pPr>
            <w:r>
              <w:rPr>
                <w:rFonts w:ascii="Calibri" w:hAnsi="Calibri" w:cs="Calibri"/>
                <w:color w:val="000000"/>
              </w:rPr>
              <w:t>Group A</w:t>
            </w:r>
          </w:p>
        </w:tc>
        <w:tc>
          <w:tcPr>
            <w:tcW w:w="1904"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5%</w:t>
            </w:r>
          </w:p>
        </w:tc>
        <w:tc>
          <w:tcPr>
            <w:tcW w:w="1341"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11%</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16%</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28%</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40%</w:t>
            </w:r>
          </w:p>
        </w:tc>
      </w:tr>
      <w:tr w:rsidR="00EF6107" w:rsidTr="001E2AA7">
        <w:trPr>
          <w:trHeight w:val="290"/>
        </w:trPr>
        <w:tc>
          <w:tcPr>
            <w:tcW w:w="1241" w:type="dxa"/>
          </w:tcPr>
          <w:p w:rsidR="00EF6107" w:rsidRDefault="00EF6107" w:rsidP="001E2AA7">
            <w:pPr>
              <w:autoSpaceDE w:val="0"/>
              <w:autoSpaceDN w:val="0"/>
              <w:adjustRightInd w:val="0"/>
              <w:rPr>
                <w:rFonts w:ascii="Calibri" w:hAnsi="Calibri" w:cs="Calibri"/>
                <w:color w:val="000000"/>
              </w:rPr>
            </w:pPr>
            <w:r>
              <w:rPr>
                <w:rFonts w:ascii="Calibri" w:hAnsi="Calibri" w:cs="Calibri"/>
                <w:color w:val="000000"/>
              </w:rPr>
              <w:t>Group B</w:t>
            </w:r>
          </w:p>
        </w:tc>
        <w:tc>
          <w:tcPr>
            <w:tcW w:w="1904"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40%</w:t>
            </w:r>
          </w:p>
        </w:tc>
        <w:tc>
          <w:tcPr>
            <w:tcW w:w="1341"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13%</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19%</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8%</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20%</w:t>
            </w:r>
          </w:p>
        </w:tc>
      </w:tr>
      <w:tr w:rsidR="00EF6107" w:rsidTr="001E2AA7">
        <w:trPr>
          <w:cnfStyle w:val="000000100000" w:firstRow="0" w:lastRow="0" w:firstColumn="0" w:lastColumn="0" w:oddVBand="0" w:evenVBand="0" w:oddHBand="1" w:evenHBand="0" w:firstRowFirstColumn="0" w:firstRowLastColumn="0" w:lastRowFirstColumn="0" w:lastRowLastColumn="0"/>
          <w:trHeight w:val="290"/>
        </w:trPr>
        <w:tc>
          <w:tcPr>
            <w:tcW w:w="1241" w:type="dxa"/>
          </w:tcPr>
          <w:p w:rsidR="00EF6107" w:rsidRDefault="00EF6107" w:rsidP="001E2AA7">
            <w:pPr>
              <w:autoSpaceDE w:val="0"/>
              <w:autoSpaceDN w:val="0"/>
              <w:adjustRightInd w:val="0"/>
              <w:rPr>
                <w:rFonts w:ascii="Calibri" w:hAnsi="Calibri" w:cs="Calibri"/>
                <w:color w:val="000000"/>
              </w:rPr>
            </w:pPr>
            <w:r>
              <w:rPr>
                <w:rFonts w:ascii="Calibri" w:hAnsi="Calibri" w:cs="Calibri"/>
                <w:color w:val="000000"/>
              </w:rPr>
              <w:t>Group C</w:t>
            </w:r>
          </w:p>
        </w:tc>
        <w:tc>
          <w:tcPr>
            <w:tcW w:w="1904"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20%</w:t>
            </w:r>
          </w:p>
        </w:tc>
        <w:tc>
          <w:tcPr>
            <w:tcW w:w="1341"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25%</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21%</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14%</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20%</w:t>
            </w:r>
          </w:p>
        </w:tc>
      </w:tr>
      <w:tr w:rsidR="00EF6107" w:rsidTr="001E2AA7">
        <w:trPr>
          <w:trHeight w:val="290"/>
        </w:trPr>
        <w:tc>
          <w:tcPr>
            <w:tcW w:w="1241" w:type="dxa"/>
          </w:tcPr>
          <w:p w:rsidR="00EF6107" w:rsidRDefault="00EF6107" w:rsidP="001E2AA7">
            <w:pPr>
              <w:autoSpaceDE w:val="0"/>
              <w:autoSpaceDN w:val="0"/>
              <w:adjustRightInd w:val="0"/>
              <w:rPr>
                <w:rFonts w:ascii="Calibri" w:hAnsi="Calibri" w:cs="Calibri"/>
                <w:color w:val="000000"/>
              </w:rPr>
            </w:pPr>
            <w:r>
              <w:rPr>
                <w:rFonts w:ascii="Calibri" w:hAnsi="Calibri" w:cs="Calibri"/>
                <w:color w:val="000000"/>
              </w:rPr>
              <w:t>Group D</w:t>
            </w:r>
          </w:p>
        </w:tc>
        <w:tc>
          <w:tcPr>
            <w:tcW w:w="1904"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7%</w:t>
            </w:r>
          </w:p>
        </w:tc>
        <w:tc>
          <w:tcPr>
            <w:tcW w:w="1341"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10%</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12%</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20%</w:t>
            </w:r>
          </w:p>
        </w:tc>
        <w:tc>
          <w:tcPr>
            <w:tcW w:w="1623" w:type="dxa"/>
          </w:tcPr>
          <w:p w:rsidR="00EF6107" w:rsidRDefault="00EF6107" w:rsidP="001E2AA7">
            <w:pPr>
              <w:autoSpaceDE w:val="0"/>
              <w:autoSpaceDN w:val="0"/>
              <w:adjustRightInd w:val="0"/>
              <w:jc w:val="center"/>
              <w:rPr>
                <w:rFonts w:ascii="Calibri" w:hAnsi="Calibri" w:cs="Calibri"/>
                <w:color w:val="000000"/>
              </w:rPr>
            </w:pPr>
            <w:r>
              <w:rPr>
                <w:rFonts w:ascii="Calibri" w:hAnsi="Calibri" w:cs="Calibri"/>
                <w:color w:val="000000"/>
              </w:rPr>
              <w:t>51%</w:t>
            </w:r>
          </w:p>
        </w:tc>
      </w:tr>
    </w:tbl>
    <w:p w:rsidR="00EF6107" w:rsidRDefault="00EF6107" w:rsidP="00EF6107"/>
    <w:p w:rsidR="002C4D2A" w:rsidRDefault="002C4D2A" w:rsidP="00B87D32">
      <w:pPr>
        <w:pStyle w:val="Heading1"/>
      </w:pPr>
      <w:r>
        <w:t>Nature Friendly</w:t>
      </w:r>
    </w:p>
    <w:p w:rsidR="00B87D32" w:rsidRDefault="00B87D32" w:rsidP="00394107">
      <w:r>
        <w:t xml:space="preserve">While we’ve selected new company colors and created a new logo, our new look is only the first step in our international growth and new opportunities. We believe </w:t>
      </w:r>
      <w:r w:rsidR="004F7E90">
        <w:t xml:space="preserve">our continuous </w:t>
      </w:r>
      <w:r>
        <w:t>core aspect</w:t>
      </w:r>
      <w:r w:rsidR="009870FE">
        <w:t xml:space="preserve"> of striving for more nature friendly offices and stores is </w:t>
      </w:r>
      <w:r>
        <w:t>key to position Fabrikam as the leader in the industry.</w:t>
      </w:r>
    </w:p>
    <w:p w:rsidR="00221694" w:rsidRPr="00221694" w:rsidRDefault="00221694" w:rsidP="00394107">
      <w:r>
        <w:lastRenderedPageBreak/>
        <w:t>Fabrikam</w:t>
      </w:r>
      <w:r w:rsidRPr="00221694">
        <w:t xml:space="preserve"> supports and promotes fair trade principles in all aspects of </w:t>
      </w:r>
      <w:r>
        <w:t>our</w:t>
      </w:r>
      <w:r w:rsidRPr="00221694">
        <w:t xml:space="preserve"> business. From sourcing products across the globe to the retail distribution of the product </w:t>
      </w:r>
      <w:r>
        <w:t xml:space="preserve">throughout </w:t>
      </w:r>
      <w:r w:rsidRPr="00221694">
        <w:t>the world.</w:t>
      </w:r>
    </w:p>
    <w:p w:rsidR="00726FFE" w:rsidRDefault="00510821" w:rsidP="00FC7255">
      <w:r>
        <w:t xml:space="preserve">Our newly acquired international offices and stores have already taken the necessary steps to become more nature friendly and </w:t>
      </w:r>
      <w:r w:rsidR="004D67F5">
        <w:t xml:space="preserve">our goal is to </w:t>
      </w:r>
      <w:r>
        <w:t xml:space="preserve">do the same in our </w:t>
      </w:r>
      <w:r w:rsidR="006F0736">
        <w:t>locations</w:t>
      </w:r>
      <w:r w:rsidR="004D67F5">
        <w:t xml:space="preserve"> throughout the United States</w:t>
      </w:r>
      <w:r w:rsidR="006F0736">
        <w:t xml:space="preserve">. </w:t>
      </w:r>
    </w:p>
    <w:p w:rsidR="003E47E9" w:rsidRPr="006D744F" w:rsidRDefault="003E47E9" w:rsidP="00875801">
      <w:pPr>
        <w:pStyle w:val="Heading1"/>
      </w:pPr>
      <w:r w:rsidRPr="006D744F">
        <w:t>LEED Certification</w:t>
      </w:r>
    </w:p>
    <w:p w:rsidR="00630CF8" w:rsidRDefault="00A54B67" w:rsidP="00726FFE">
      <w:pPr>
        <w:spacing w:before="200" w:after="240"/>
      </w:pPr>
      <w:r w:rsidRPr="00A54B67">
        <w:t>LEED certification is the recognized standard for mea</w:t>
      </w:r>
      <w:r>
        <w:t>suring building sustainability i</w:t>
      </w:r>
      <w:r w:rsidRPr="00A54B67">
        <w:t>n the United States and in m</w:t>
      </w:r>
      <w:r w:rsidR="004F7E90">
        <w:t xml:space="preserve">any countries around the world and </w:t>
      </w:r>
      <w:r w:rsidR="004D67F5">
        <w:t>Fabrikam</w:t>
      </w:r>
      <w:r w:rsidR="004D67F5" w:rsidRPr="00A54B67">
        <w:t xml:space="preserve"> is committed to achieving LEED certification for all new </w:t>
      </w:r>
      <w:r w:rsidR="004D67F5">
        <w:t xml:space="preserve">and existing buildings. </w:t>
      </w:r>
      <w:r w:rsidR="00630CF8">
        <w:t>While our upfront investments will be high, we believe the energy efficient operations of LEED certified buildings will quickly reduce our overhead costs. We also believe this new direction will build a stronger brand presence and strengthen our overall positioning.</w:t>
      </w:r>
    </w:p>
    <w:p w:rsidR="004F7E90" w:rsidRDefault="00A54B67" w:rsidP="00726FFE">
      <w:pPr>
        <w:spacing w:before="200" w:after="240"/>
      </w:pPr>
      <w:r>
        <w:t xml:space="preserve">Since this is a large investment, our current </w:t>
      </w:r>
      <w:r w:rsidR="00B0260F">
        <w:t>goal</w:t>
      </w:r>
      <w:r>
        <w:t xml:space="preserve"> is to update existing buildings and obtain LEED certification </w:t>
      </w:r>
      <w:r w:rsidR="004F7E90">
        <w:t xml:space="preserve">for our existing structures </w:t>
      </w:r>
      <w:r>
        <w:t xml:space="preserve">over the next four years </w:t>
      </w:r>
      <w:r w:rsidR="004F7E90">
        <w:t xml:space="preserve">which will be completed </w:t>
      </w:r>
      <w:r>
        <w:t xml:space="preserve">in six phases. </w:t>
      </w:r>
    </w:p>
    <w:p w:rsidR="003B045A" w:rsidRDefault="00A838D9" w:rsidP="00726FFE">
      <w:pPr>
        <w:spacing w:before="200" w:after="240"/>
      </w:pPr>
      <w:r>
        <w:t xml:space="preserve">Phase 1 will </w:t>
      </w:r>
      <w:r w:rsidR="00D27A70">
        <w:t xml:space="preserve">start with our home location of Oregon and </w:t>
      </w:r>
      <w:r w:rsidR="00190980">
        <w:t>the procedures implemented there will be used</w:t>
      </w:r>
      <w:r w:rsidR="00D27A70">
        <w:t xml:space="preserve"> as a model for all other phases. </w:t>
      </w:r>
    </w:p>
    <w:p w:rsidR="00364756" w:rsidRDefault="00364756" w:rsidP="00364756">
      <w:pPr>
        <w:spacing w:before="200" w:after="240"/>
        <w:jc w:val="center"/>
      </w:pPr>
      <w:r>
        <w:rPr>
          <w:noProof/>
          <w:lang w:val="en-CA" w:eastAsia="en-CA"/>
        </w:rPr>
        <w:drawing>
          <wp:inline distT="0" distB="0" distL="0" distR="0" wp14:anchorId="55894F65" wp14:editId="0FB7B275">
            <wp:extent cx="5124450" cy="329428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7596" cy="3296311"/>
                    </a:xfrm>
                    <a:prstGeom prst="rect">
                      <a:avLst/>
                    </a:prstGeom>
                  </pic:spPr>
                </pic:pic>
              </a:graphicData>
            </a:graphic>
          </wp:inline>
        </w:drawing>
      </w:r>
    </w:p>
    <w:p w:rsidR="00364756" w:rsidRDefault="00161635" w:rsidP="009E2590">
      <w:pPr>
        <w:spacing w:before="200" w:after="240"/>
      </w:pPr>
      <w:r>
        <w:t xml:space="preserve">The initial updates will </w:t>
      </w:r>
      <w:r w:rsidR="00364756">
        <w:t xml:space="preserve">focus on the coastal regions of the </w:t>
      </w:r>
      <w:r>
        <w:t>United States. Our studies have found these regions</w:t>
      </w:r>
      <w:r w:rsidR="00364756">
        <w:t xml:space="preserve"> are more competitive in the nature friendly marketplace. </w:t>
      </w:r>
      <w:r w:rsidR="00BA6C17">
        <w:t>Phase 4 will consist of our biggest investment as we move</w:t>
      </w:r>
      <w:r w:rsidR="00364756">
        <w:t xml:space="preserve"> </w:t>
      </w:r>
      <w:r w:rsidR="00BA6C17">
        <w:t xml:space="preserve">inward to the central region. </w:t>
      </w:r>
      <w:r w:rsidR="00364756">
        <w:t xml:space="preserve">Those states that are part of Phases 5 and 6 are scheduled for the end of our update phase due to the large number of locations in these areas. Our </w:t>
      </w:r>
      <w:r w:rsidR="00364756">
        <w:lastRenderedPageBreak/>
        <w:t xml:space="preserve">estimates have determined we will have </w:t>
      </w:r>
      <w:r w:rsidR="009442CB">
        <w:t>recovered</w:t>
      </w:r>
      <w:r w:rsidR="00364756">
        <w:t xml:space="preserve"> our initial </w:t>
      </w:r>
      <w:r w:rsidR="00440E38">
        <w:t xml:space="preserve">investment and overhead costs will have decreased by the time </w:t>
      </w:r>
      <w:r w:rsidR="00B30BFF">
        <w:t xml:space="preserve">these </w:t>
      </w:r>
      <w:r w:rsidR="00440E38">
        <w:t>2</w:t>
      </w:r>
      <w:r w:rsidR="00B30BFF">
        <w:t>36</w:t>
      </w:r>
      <w:r w:rsidR="00440E38">
        <w:t xml:space="preserve"> locations are slated </w:t>
      </w:r>
      <w:r w:rsidR="00144857">
        <w:t>for update</w:t>
      </w:r>
      <w:r w:rsidR="00A54B67">
        <w:t xml:space="preserve">. </w:t>
      </w:r>
    </w:p>
    <w:p w:rsidR="00144857" w:rsidRDefault="00144857" w:rsidP="00875801">
      <w:pPr>
        <w:pStyle w:val="Heading1"/>
        <w:rPr>
          <w:rFonts w:eastAsiaTheme="minorHAnsi"/>
        </w:rPr>
      </w:pPr>
      <w:bookmarkStart w:id="2" w:name="_Toc274395593"/>
      <w:bookmarkStart w:id="3" w:name="_Toc183749116"/>
      <w:r>
        <w:rPr>
          <w:rFonts w:eastAsiaTheme="minorHAnsi"/>
        </w:rPr>
        <w:t xml:space="preserve">Nature Friendly </w:t>
      </w:r>
      <w:r w:rsidRPr="0046432F">
        <w:t>Products</w:t>
      </w:r>
    </w:p>
    <w:p w:rsidR="00755C11" w:rsidRDefault="00144857" w:rsidP="00FB1F64">
      <w:r w:rsidRPr="00FB1F64">
        <w:t xml:space="preserve">All new </w:t>
      </w:r>
      <w:r w:rsidR="00FB1F64">
        <w:t>buildings</w:t>
      </w:r>
      <w:r w:rsidRPr="00FB1F64">
        <w:t xml:space="preserve"> will be constructed with nature friendly materials, appl</w:t>
      </w:r>
      <w:r w:rsidR="00B0260F" w:rsidRPr="00FB1F64">
        <w:t>iances, supplies, and furniture</w:t>
      </w:r>
      <w:r w:rsidR="00B112E9">
        <w:t xml:space="preserve"> such as those in the following list:</w:t>
      </w:r>
      <w:r w:rsidR="004C0DF4">
        <w:t xml:space="preserve"> </w:t>
      </w:r>
    </w:p>
    <w:p w:rsidR="00144857" w:rsidRDefault="0011721B" w:rsidP="008C5854">
      <w:pPr>
        <w:pStyle w:val="Heading2"/>
        <w:rPr>
          <w:rFonts w:ascii="Segoe UI" w:eastAsiaTheme="minorHAnsi" w:hAnsi="Segoe UI" w:cs="Segoe UI"/>
        </w:rPr>
      </w:pPr>
      <w:r>
        <w:rPr>
          <w:rFonts w:eastAsiaTheme="minorHAnsi"/>
        </w:rPr>
        <w:t>Sustainable</w:t>
      </w:r>
      <w:r w:rsidR="002453E1">
        <w:rPr>
          <w:rFonts w:eastAsiaTheme="minorHAnsi"/>
        </w:rPr>
        <w:t xml:space="preserve"> p</w:t>
      </w:r>
      <w:r>
        <w:rPr>
          <w:rFonts w:eastAsiaTheme="minorHAnsi"/>
        </w:rPr>
        <w:t>roducts</w:t>
      </w:r>
      <w:r w:rsidR="00144857">
        <w:rPr>
          <w:rFonts w:eastAsiaTheme="minorHAnsi"/>
        </w:rPr>
        <w:t xml:space="preserve"> </w:t>
      </w:r>
    </w:p>
    <w:p w:rsidR="00144857" w:rsidRPr="00312BDA" w:rsidRDefault="00312BDA" w:rsidP="00144857">
      <w:pPr>
        <w:pStyle w:val="ListParagraph"/>
        <w:numPr>
          <w:ilvl w:val="0"/>
          <w:numId w:val="2"/>
        </w:numPr>
        <w:spacing w:after="0"/>
        <w:rPr>
          <w:rFonts w:eastAsiaTheme="minorHAnsi" w:cstheme="minorHAnsi"/>
        </w:rPr>
      </w:pPr>
      <w:r>
        <w:rPr>
          <w:rFonts w:cstheme="minorHAnsi"/>
        </w:rPr>
        <w:t>Bamboo</w:t>
      </w:r>
    </w:p>
    <w:p w:rsidR="00312BDA" w:rsidRPr="00457127" w:rsidRDefault="00312BDA" w:rsidP="00144857">
      <w:pPr>
        <w:pStyle w:val="ListParagraph"/>
        <w:numPr>
          <w:ilvl w:val="0"/>
          <w:numId w:val="2"/>
        </w:numPr>
        <w:spacing w:after="0"/>
        <w:rPr>
          <w:rFonts w:eastAsiaTheme="minorHAnsi" w:cstheme="minorHAnsi"/>
        </w:rPr>
      </w:pPr>
      <w:r>
        <w:rPr>
          <w:rFonts w:cstheme="minorHAnsi"/>
        </w:rPr>
        <w:t>Rattan</w:t>
      </w:r>
    </w:p>
    <w:p w:rsidR="0011721B" w:rsidRPr="00457127" w:rsidRDefault="0011721B" w:rsidP="0011721B">
      <w:pPr>
        <w:pStyle w:val="ListParagraph"/>
        <w:numPr>
          <w:ilvl w:val="0"/>
          <w:numId w:val="2"/>
        </w:numPr>
        <w:spacing w:after="0"/>
        <w:rPr>
          <w:rFonts w:cstheme="minorHAnsi"/>
        </w:rPr>
      </w:pPr>
      <w:r w:rsidRPr="00457127">
        <w:rPr>
          <w:rFonts w:cstheme="minorHAnsi"/>
        </w:rPr>
        <w:t>FSC certified wood</w:t>
      </w:r>
    </w:p>
    <w:p w:rsidR="0011721B" w:rsidRDefault="002453E1" w:rsidP="008C5854">
      <w:pPr>
        <w:pStyle w:val="Heading2"/>
      </w:pPr>
      <w:r>
        <w:t>Other m</w:t>
      </w:r>
      <w:r w:rsidR="0011721B">
        <w:t>aterials</w:t>
      </w:r>
    </w:p>
    <w:p w:rsidR="00144857" w:rsidRPr="00457127" w:rsidRDefault="00312BDA" w:rsidP="0011721B">
      <w:pPr>
        <w:pStyle w:val="ListParagraph"/>
        <w:numPr>
          <w:ilvl w:val="0"/>
          <w:numId w:val="2"/>
        </w:numPr>
        <w:spacing w:after="0"/>
        <w:rPr>
          <w:rFonts w:cstheme="minorHAnsi"/>
        </w:rPr>
      </w:pPr>
      <w:r>
        <w:rPr>
          <w:rFonts w:cstheme="minorHAnsi"/>
        </w:rPr>
        <w:t>Recycled</w:t>
      </w:r>
    </w:p>
    <w:p w:rsidR="00144857" w:rsidRPr="00457127" w:rsidRDefault="00144857" w:rsidP="00144857">
      <w:pPr>
        <w:pStyle w:val="ListParagraph"/>
        <w:numPr>
          <w:ilvl w:val="0"/>
          <w:numId w:val="2"/>
        </w:numPr>
        <w:spacing w:after="0"/>
        <w:rPr>
          <w:rFonts w:cstheme="minorHAnsi"/>
        </w:rPr>
      </w:pPr>
      <w:r w:rsidRPr="00457127">
        <w:rPr>
          <w:rFonts w:cstheme="minorHAnsi"/>
        </w:rPr>
        <w:t>Salvaged</w:t>
      </w:r>
    </w:p>
    <w:p w:rsidR="00144857" w:rsidRPr="00457127" w:rsidRDefault="00144857" w:rsidP="00144857">
      <w:pPr>
        <w:pStyle w:val="ListParagraph"/>
        <w:numPr>
          <w:ilvl w:val="0"/>
          <w:numId w:val="2"/>
        </w:numPr>
        <w:spacing w:after="0"/>
        <w:rPr>
          <w:rFonts w:cstheme="minorHAnsi"/>
        </w:rPr>
      </w:pPr>
      <w:r w:rsidRPr="00457127">
        <w:rPr>
          <w:rFonts w:cstheme="minorHAnsi"/>
        </w:rPr>
        <w:t>Refurbished</w:t>
      </w:r>
      <w:r w:rsidR="0063049F" w:rsidRPr="00457127">
        <w:rPr>
          <w:rFonts w:cstheme="minorHAnsi"/>
        </w:rPr>
        <w:t xml:space="preserve"> </w:t>
      </w:r>
    </w:p>
    <w:p w:rsidR="00144857" w:rsidRDefault="00144857" w:rsidP="00144857">
      <w:pPr>
        <w:pStyle w:val="ListParagraph"/>
        <w:numPr>
          <w:ilvl w:val="0"/>
          <w:numId w:val="2"/>
        </w:numPr>
        <w:spacing w:after="0"/>
        <w:rPr>
          <w:rFonts w:cstheme="minorHAnsi"/>
        </w:rPr>
      </w:pPr>
      <w:r w:rsidRPr="00457127">
        <w:rPr>
          <w:rFonts w:cstheme="minorHAnsi"/>
        </w:rPr>
        <w:t>Remanufactured</w:t>
      </w:r>
    </w:p>
    <w:p w:rsidR="001F47DD" w:rsidRPr="00457127" w:rsidRDefault="001F47DD" w:rsidP="00144857">
      <w:pPr>
        <w:pStyle w:val="ListParagraph"/>
        <w:numPr>
          <w:ilvl w:val="0"/>
          <w:numId w:val="2"/>
        </w:numPr>
        <w:spacing w:after="0"/>
        <w:rPr>
          <w:rFonts w:cstheme="minorHAnsi"/>
        </w:rPr>
      </w:pPr>
      <w:r>
        <w:rPr>
          <w:rFonts w:cstheme="minorHAnsi"/>
        </w:rPr>
        <w:t>Corn based resins</w:t>
      </w:r>
    </w:p>
    <w:p w:rsidR="00144857" w:rsidRPr="00457127" w:rsidRDefault="002453E1" w:rsidP="008C5854">
      <w:pPr>
        <w:pStyle w:val="Heading2"/>
        <w:rPr>
          <w:rFonts w:eastAsiaTheme="minorHAnsi"/>
        </w:rPr>
      </w:pPr>
      <w:r>
        <w:rPr>
          <w:rFonts w:eastAsiaTheme="minorHAnsi"/>
        </w:rPr>
        <w:t>Fixtures and a</w:t>
      </w:r>
      <w:r w:rsidR="00EE6A0F" w:rsidRPr="00457127">
        <w:rPr>
          <w:rFonts w:eastAsiaTheme="minorHAnsi"/>
        </w:rPr>
        <w:t>ppliances</w:t>
      </w:r>
    </w:p>
    <w:p w:rsidR="00144857" w:rsidRPr="00457127" w:rsidRDefault="0063049F" w:rsidP="00144857">
      <w:pPr>
        <w:pStyle w:val="ListParagraph"/>
        <w:numPr>
          <w:ilvl w:val="0"/>
          <w:numId w:val="3"/>
        </w:numPr>
        <w:spacing w:after="0"/>
        <w:rPr>
          <w:rFonts w:eastAsiaTheme="minorHAnsi" w:cstheme="minorHAnsi"/>
        </w:rPr>
      </w:pPr>
      <w:r w:rsidRPr="00457127">
        <w:rPr>
          <w:rFonts w:cstheme="minorHAnsi"/>
        </w:rPr>
        <w:t>Water saving aerators</w:t>
      </w:r>
    </w:p>
    <w:p w:rsidR="0063049F" w:rsidRPr="00457127" w:rsidRDefault="0063049F" w:rsidP="00144857">
      <w:pPr>
        <w:pStyle w:val="ListParagraph"/>
        <w:numPr>
          <w:ilvl w:val="0"/>
          <w:numId w:val="3"/>
        </w:numPr>
        <w:spacing w:after="0"/>
        <w:rPr>
          <w:rFonts w:eastAsiaTheme="minorHAnsi" w:cstheme="minorHAnsi"/>
        </w:rPr>
      </w:pPr>
      <w:r w:rsidRPr="00457127">
        <w:rPr>
          <w:rFonts w:cstheme="minorHAnsi"/>
        </w:rPr>
        <w:t xml:space="preserve">Dual flush toilet systems </w:t>
      </w:r>
    </w:p>
    <w:p w:rsidR="00457127" w:rsidRPr="00312BDA" w:rsidRDefault="00144857" w:rsidP="00312BDA">
      <w:pPr>
        <w:pStyle w:val="ListParagraph"/>
        <w:numPr>
          <w:ilvl w:val="0"/>
          <w:numId w:val="3"/>
        </w:numPr>
        <w:spacing w:after="0"/>
        <w:rPr>
          <w:rFonts w:cstheme="minorHAnsi"/>
        </w:rPr>
      </w:pPr>
      <w:r w:rsidRPr="00457127">
        <w:rPr>
          <w:rFonts w:cstheme="minorHAnsi"/>
        </w:rPr>
        <w:t>Energy star appliances</w:t>
      </w:r>
    </w:p>
    <w:p w:rsidR="00457127" w:rsidRPr="00457127" w:rsidRDefault="0011721B" w:rsidP="008C5854">
      <w:pPr>
        <w:pStyle w:val="Heading2"/>
      </w:pPr>
      <w:r>
        <w:t>Miscellaneous</w:t>
      </w:r>
    </w:p>
    <w:p w:rsidR="001F47DD" w:rsidRDefault="001F47DD" w:rsidP="001F47DD">
      <w:pPr>
        <w:pStyle w:val="ListParagraph"/>
        <w:numPr>
          <w:ilvl w:val="0"/>
          <w:numId w:val="3"/>
        </w:numPr>
        <w:spacing w:after="0"/>
        <w:rPr>
          <w:rFonts w:cstheme="minorHAnsi"/>
        </w:rPr>
      </w:pPr>
      <w:r>
        <w:rPr>
          <w:rFonts w:cstheme="minorHAnsi"/>
        </w:rPr>
        <w:t>Combination water cooler/bottle filler</w:t>
      </w:r>
    </w:p>
    <w:p w:rsidR="0011721B" w:rsidRPr="00457127" w:rsidRDefault="0011721B" w:rsidP="0011721B">
      <w:pPr>
        <w:pStyle w:val="ListParagraph"/>
        <w:numPr>
          <w:ilvl w:val="0"/>
          <w:numId w:val="3"/>
        </w:numPr>
        <w:spacing w:after="0"/>
        <w:rPr>
          <w:rFonts w:cstheme="minorHAnsi"/>
        </w:rPr>
      </w:pPr>
      <w:r w:rsidRPr="00457127">
        <w:rPr>
          <w:rFonts w:cstheme="minorHAnsi"/>
        </w:rPr>
        <w:t xml:space="preserve">Porcelain or enamel </w:t>
      </w:r>
      <w:r w:rsidR="00D653DF">
        <w:rPr>
          <w:rFonts w:cstheme="minorHAnsi"/>
        </w:rPr>
        <w:t xml:space="preserve">plates and </w:t>
      </w:r>
      <w:r w:rsidRPr="00457127">
        <w:rPr>
          <w:rFonts w:cstheme="minorHAnsi"/>
        </w:rPr>
        <w:t>utensils</w:t>
      </w:r>
    </w:p>
    <w:p w:rsidR="00144857" w:rsidRDefault="00EE6A0F" w:rsidP="00457127">
      <w:pPr>
        <w:pStyle w:val="ListParagraph"/>
        <w:numPr>
          <w:ilvl w:val="0"/>
          <w:numId w:val="3"/>
        </w:numPr>
        <w:rPr>
          <w:rFonts w:cstheme="minorHAnsi"/>
        </w:rPr>
      </w:pPr>
      <w:r w:rsidRPr="00457127">
        <w:rPr>
          <w:rFonts w:cstheme="minorHAnsi"/>
        </w:rPr>
        <w:t>Compostable</w:t>
      </w:r>
      <w:r w:rsidR="00144857" w:rsidRPr="00457127">
        <w:rPr>
          <w:rFonts w:cstheme="minorHAnsi"/>
        </w:rPr>
        <w:t xml:space="preserve"> cups</w:t>
      </w:r>
      <w:r w:rsidR="00D653DF">
        <w:rPr>
          <w:rFonts w:cstheme="minorHAnsi"/>
        </w:rPr>
        <w:t>, plates,</w:t>
      </w:r>
      <w:r w:rsidR="00144857" w:rsidRPr="00457127">
        <w:rPr>
          <w:rFonts w:cstheme="minorHAnsi"/>
        </w:rPr>
        <w:t xml:space="preserve"> </w:t>
      </w:r>
      <w:r w:rsidRPr="00457127">
        <w:rPr>
          <w:rFonts w:cstheme="minorHAnsi"/>
        </w:rPr>
        <w:t xml:space="preserve">and utensils </w:t>
      </w:r>
      <w:bookmarkEnd w:id="0"/>
      <w:bookmarkEnd w:id="2"/>
      <w:bookmarkEnd w:id="3"/>
    </w:p>
    <w:p w:rsidR="00B112E9" w:rsidRDefault="00B112E9" w:rsidP="00B112E9">
      <w:r>
        <w:t xml:space="preserve">Existing structures will incorporate these items on a replacement basis. While we would like all structures to be 100% nature friendly within the next four years, we also believe it’s equally nature friendly to not add to our landfills unnecessarily. </w:t>
      </w:r>
    </w:p>
    <w:sectPr w:rsidR="00B112E9" w:rsidSect="000A4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481" w:rsidRDefault="00EE1481" w:rsidP="00801F83">
      <w:pPr>
        <w:spacing w:after="0" w:line="240" w:lineRule="auto"/>
      </w:pPr>
      <w:r>
        <w:separator/>
      </w:r>
    </w:p>
  </w:endnote>
  <w:endnote w:type="continuationSeparator" w:id="0">
    <w:p w:rsidR="00EE1481" w:rsidRDefault="00EE1481" w:rsidP="00801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C37" w:rsidRDefault="00250C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C37" w:rsidRDefault="00250C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0"/>
      <w:gridCol w:w="5400"/>
    </w:tblGrid>
    <w:tr w:rsidR="005154DB" w:rsidTr="00341874">
      <w:trPr>
        <w:trHeight w:hRule="exact" w:val="115"/>
        <w:jc w:val="center"/>
      </w:trPr>
      <w:tc>
        <w:tcPr>
          <w:tcW w:w="2500" w:type="pct"/>
          <w:tcBorders>
            <w:top w:val="single" w:sz="12" w:space="0" w:color="2683C6" w:themeColor="accent2"/>
          </w:tcBorders>
          <w:shd w:val="clear" w:color="auto" w:fill="2683C6" w:themeFill="accent2"/>
          <w:tcMar>
            <w:top w:w="0" w:type="dxa"/>
            <w:bottom w:w="0" w:type="dxa"/>
          </w:tcMar>
        </w:tcPr>
        <w:p w:rsidR="005154DB" w:rsidRDefault="005154DB" w:rsidP="005154DB">
          <w:pPr>
            <w:pStyle w:val="Header"/>
            <w:tabs>
              <w:tab w:val="clear" w:pos="4680"/>
              <w:tab w:val="clear" w:pos="9360"/>
            </w:tabs>
            <w:rPr>
              <w:caps/>
              <w:sz w:val="18"/>
            </w:rPr>
          </w:pPr>
        </w:p>
      </w:tc>
      <w:tc>
        <w:tcPr>
          <w:tcW w:w="2500" w:type="pct"/>
          <w:tcBorders>
            <w:top w:val="single" w:sz="12" w:space="0" w:color="2683C6" w:themeColor="accent2"/>
          </w:tcBorders>
          <w:shd w:val="clear" w:color="auto" w:fill="2683C6" w:themeFill="accent2"/>
          <w:tcMar>
            <w:top w:w="0" w:type="dxa"/>
            <w:bottom w:w="0" w:type="dxa"/>
          </w:tcMar>
        </w:tcPr>
        <w:p w:rsidR="005154DB" w:rsidRDefault="005154DB" w:rsidP="005154DB">
          <w:pPr>
            <w:pStyle w:val="Header"/>
            <w:tabs>
              <w:tab w:val="clear" w:pos="4680"/>
              <w:tab w:val="clear" w:pos="9360"/>
            </w:tabs>
            <w:jc w:val="right"/>
            <w:rPr>
              <w:caps/>
              <w:sz w:val="18"/>
            </w:rPr>
          </w:pPr>
        </w:p>
      </w:tc>
    </w:tr>
    <w:tr w:rsidR="005154DB" w:rsidTr="00341874">
      <w:trPr>
        <w:jc w:val="center"/>
      </w:trPr>
      <w:tc>
        <w:tcPr>
          <w:tcW w:w="2500" w:type="pct"/>
          <w:shd w:val="clear" w:color="auto" w:fill="auto"/>
          <w:vAlign w:val="center"/>
        </w:tcPr>
        <w:p w:rsidR="005154DB" w:rsidRDefault="005154DB" w:rsidP="005154DB">
          <w:pPr>
            <w:pStyle w:val="Footer"/>
            <w:tabs>
              <w:tab w:val="clear" w:pos="4680"/>
              <w:tab w:val="clear" w:pos="9360"/>
            </w:tabs>
            <w:rPr>
              <w:caps/>
              <w:color w:val="808080" w:themeColor="background1" w:themeShade="80"/>
              <w:sz w:val="18"/>
              <w:szCs w:val="18"/>
            </w:rPr>
          </w:pPr>
        </w:p>
      </w:tc>
      <w:tc>
        <w:tcPr>
          <w:tcW w:w="2500" w:type="pct"/>
          <w:shd w:val="clear" w:color="auto" w:fill="auto"/>
          <w:vAlign w:val="center"/>
        </w:tcPr>
        <w:p w:rsidR="005154DB" w:rsidRDefault="005154DB" w:rsidP="005154DB">
          <w:pPr>
            <w:pStyle w:val="Footer"/>
            <w:tabs>
              <w:tab w:val="clear" w:pos="4680"/>
              <w:tab w:val="clear" w:pos="9360"/>
            </w:tabs>
            <w:jc w:val="right"/>
            <w:rPr>
              <w:caps/>
              <w:color w:val="808080" w:themeColor="background1" w:themeShade="80"/>
              <w:sz w:val="18"/>
              <w:szCs w:val="18"/>
            </w:rPr>
          </w:pPr>
        </w:p>
      </w:tc>
    </w:tr>
  </w:tbl>
  <w:p w:rsidR="005154DB" w:rsidRDefault="00515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481" w:rsidRDefault="00EE1481" w:rsidP="00801F83">
      <w:pPr>
        <w:spacing w:after="0" w:line="240" w:lineRule="auto"/>
      </w:pPr>
      <w:r>
        <w:separator/>
      </w:r>
    </w:p>
  </w:footnote>
  <w:footnote w:type="continuationSeparator" w:id="0">
    <w:p w:rsidR="00EE1481" w:rsidRDefault="00EE1481" w:rsidP="00801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C37" w:rsidRDefault="00250C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C37" w:rsidRDefault="00250C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C37" w:rsidRDefault="00250C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6389D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D601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6C8A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DEE2A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301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F2DD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5DE59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002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DC6F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46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75CF0"/>
    <w:multiLevelType w:val="hybridMultilevel"/>
    <w:tmpl w:val="7BCA5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09C73F2"/>
    <w:multiLevelType w:val="hybridMultilevel"/>
    <w:tmpl w:val="D172A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1CB4712"/>
    <w:multiLevelType w:val="hybridMultilevel"/>
    <w:tmpl w:val="79B2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1F72AC"/>
    <w:multiLevelType w:val="hybridMultilevel"/>
    <w:tmpl w:val="09068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7113C3A"/>
    <w:multiLevelType w:val="hybridMultilevel"/>
    <w:tmpl w:val="735AC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11"/>
  </w:num>
  <w:num w:numId="5">
    <w:abstractNumId w:val="10"/>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efaultTableStyle w:val="GridTable4-Accent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147"/>
    <w:rsid w:val="00006013"/>
    <w:rsid w:val="00007E86"/>
    <w:rsid w:val="00010B08"/>
    <w:rsid w:val="00017344"/>
    <w:rsid w:val="0006607E"/>
    <w:rsid w:val="00091F90"/>
    <w:rsid w:val="000A43F4"/>
    <w:rsid w:val="000B0F33"/>
    <w:rsid w:val="000B5025"/>
    <w:rsid w:val="000D5304"/>
    <w:rsid w:val="000F71E0"/>
    <w:rsid w:val="00115202"/>
    <w:rsid w:val="00115B12"/>
    <w:rsid w:val="0011721B"/>
    <w:rsid w:val="00136387"/>
    <w:rsid w:val="00137447"/>
    <w:rsid w:val="00144857"/>
    <w:rsid w:val="00161635"/>
    <w:rsid w:val="00164C94"/>
    <w:rsid w:val="00166800"/>
    <w:rsid w:val="001904BA"/>
    <w:rsid w:val="00190980"/>
    <w:rsid w:val="00196DBC"/>
    <w:rsid w:val="001A1722"/>
    <w:rsid w:val="001C6288"/>
    <w:rsid w:val="001D1480"/>
    <w:rsid w:val="001D280D"/>
    <w:rsid w:val="001E46D1"/>
    <w:rsid w:val="001F47DD"/>
    <w:rsid w:val="00212394"/>
    <w:rsid w:val="00221694"/>
    <w:rsid w:val="00237147"/>
    <w:rsid w:val="002453E1"/>
    <w:rsid w:val="002476D6"/>
    <w:rsid w:val="00250C37"/>
    <w:rsid w:val="002510E6"/>
    <w:rsid w:val="002671CF"/>
    <w:rsid w:val="00274310"/>
    <w:rsid w:val="0028351D"/>
    <w:rsid w:val="002855FE"/>
    <w:rsid w:val="002935AF"/>
    <w:rsid w:val="002C4D2A"/>
    <w:rsid w:val="002D0F80"/>
    <w:rsid w:val="00312BDA"/>
    <w:rsid w:val="00341874"/>
    <w:rsid w:val="00356961"/>
    <w:rsid w:val="00364756"/>
    <w:rsid w:val="003843C5"/>
    <w:rsid w:val="003855FE"/>
    <w:rsid w:val="00394107"/>
    <w:rsid w:val="003A0ABF"/>
    <w:rsid w:val="003B045A"/>
    <w:rsid w:val="003E47E9"/>
    <w:rsid w:val="003F0598"/>
    <w:rsid w:val="00406523"/>
    <w:rsid w:val="00422DAD"/>
    <w:rsid w:val="004320FD"/>
    <w:rsid w:val="00440E38"/>
    <w:rsid w:val="00455952"/>
    <w:rsid w:val="00457127"/>
    <w:rsid w:val="0046432F"/>
    <w:rsid w:val="004A0E8B"/>
    <w:rsid w:val="004C0DF4"/>
    <w:rsid w:val="004C6D3D"/>
    <w:rsid w:val="004D1318"/>
    <w:rsid w:val="004D67F5"/>
    <w:rsid w:val="004E1642"/>
    <w:rsid w:val="004F7E90"/>
    <w:rsid w:val="005043AC"/>
    <w:rsid w:val="005062BA"/>
    <w:rsid w:val="00510821"/>
    <w:rsid w:val="005154DB"/>
    <w:rsid w:val="005355E0"/>
    <w:rsid w:val="005563ED"/>
    <w:rsid w:val="00563E08"/>
    <w:rsid w:val="00572B13"/>
    <w:rsid w:val="0058257B"/>
    <w:rsid w:val="0058312C"/>
    <w:rsid w:val="005C6EA0"/>
    <w:rsid w:val="005E0C77"/>
    <w:rsid w:val="006075BD"/>
    <w:rsid w:val="00627443"/>
    <w:rsid w:val="0063049F"/>
    <w:rsid w:val="00630CF8"/>
    <w:rsid w:val="006358B1"/>
    <w:rsid w:val="00663343"/>
    <w:rsid w:val="006779BA"/>
    <w:rsid w:val="00680E80"/>
    <w:rsid w:val="006C4B4E"/>
    <w:rsid w:val="006D2F23"/>
    <w:rsid w:val="006D744F"/>
    <w:rsid w:val="006E57E2"/>
    <w:rsid w:val="006F0736"/>
    <w:rsid w:val="00701B64"/>
    <w:rsid w:val="00703F11"/>
    <w:rsid w:val="00726FFE"/>
    <w:rsid w:val="007272C8"/>
    <w:rsid w:val="00755C11"/>
    <w:rsid w:val="00776414"/>
    <w:rsid w:val="007C0848"/>
    <w:rsid w:val="007C2158"/>
    <w:rsid w:val="007F2932"/>
    <w:rsid w:val="007F6F8F"/>
    <w:rsid w:val="00801F83"/>
    <w:rsid w:val="0080251C"/>
    <w:rsid w:val="008377E8"/>
    <w:rsid w:val="0087236C"/>
    <w:rsid w:val="00872C08"/>
    <w:rsid w:val="00875801"/>
    <w:rsid w:val="008A7DA2"/>
    <w:rsid w:val="008C1C68"/>
    <w:rsid w:val="008C5854"/>
    <w:rsid w:val="008E182F"/>
    <w:rsid w:val="0091517F"/>
    <w:rsid w:val="009442CB"/>
    <w:rsid w:val="0094570F"/>
    <w:rsid w:val="00972870"/>
    <w:rsid w:val="009870FE"/>
    <w:rsid w:val="009A3D51"/>
    <w:rsid w:val="009B4E48"/>
    <w:rsid w:val="009B7EEC"/>
    <w:rsid w:val="009C72C8"/>
    <w:rsid w:val="009E2590"/>
    <w:rsid w:val="009E478D"/>
    <w:rsid w:val="009F1EBB"/>
    <w:rsid w:val="00A0356E"/>
    <w:rsid w:val="00A1007B"/>
    <w:rsid w:val="00A30709"/>
    <w:rsid w:val="00A31B92"/>
    <w:rsid w:val="00A47D71"/>
    <w:rsid w:val="00A54B67"/>
    <w:rsid w:val="00A56E20"/>
    <w:rsid w:val="00A601A9"/>
    <w:rsid w:val="00A82771"/>
    <w:rsid w:val="00A838D9"/>
    <w:rsid w:val="00A90B2C"/>
    <w:rsid w:val="00AA1A8A"/>
    <w:rsid w:val="00AB4865"/>
    <w:rsid w:val="00AB770C"/>
    <w:rsid w:val="00AB7BAF"/>
    <w:rsid w:val="00AE1D35"/>
    <w:rsid w:val="00B0260F"/>
    <w:rsid w:val="00B112E9"/>
    <w:rsid w:val="00B14466"/>
    <w:rsid w:val="00B30BFF"/>
    <w:rsid w:val="00B328D8"/>
    <w:rsid w:val="00B500DF"/>
    <w:rsid w:val="00B62318"/>
    <w:rsid w:val="00B708B2"/>
    <w:rsid w:val="00B8613F"/>
    <w:rsid w:val="00B87D32"/>
    <w:rsid w:val="00B971F4"/>
    <w:rsid w:val="00BA3947"/>
    <w:rsid w:val="00BA6C17"/>
    <w:rsid w:val="00BB68AF"/>
    <w:rsid w:val="00BC082F"/>
    <w:rsid w:val="00BC7020"/>
    <w:rsid w:val="00C238A7"/>
    <w:rsid w:val="00C263D1"/>
    <w:rsid w:val="00C271E0"/>
    <w:rsid w:val="00C31F8E"/>
    <w:rsid w:val="00C545AE"/>
    <w:rsid w:val="00C569B0"/>
    <w:rsid w:val="00C97E34"/>
    <w:rsid w:val="00CC036E"/>
    <w:rsid w:val="00CD55BE"/>
    <w:rsid w:val="00CE45A0"/>
    <w:rsid w:val="00D13494"/>
    <w:rsid w:val="00D27A70"/>
    <w:rsid w:val="00D32D91"/>
    <w:rsid w:val="00D330BD"/>
    <w:rsid w:val="00D653DF"/>
    <w:rsid w:val="00DA7298"/>
    <w:rsid w:val="00DE204C"/>
    <w:rsid w:val="00E42F27"/>
    <w:rsid w:val="00E440BB"/>
    <w:rsid w:val="00E643B2"/>
    <w:rsid w:val="00E736A4"/>
    <w:rsid w:val="00EA2C42"/>
    <w:rsid w:val="00EB683B"/>
    <w:rsid w:val="00EC31C9"/>
    <w:rsid w:val="00ED4B67"/>
    <w:rsid w:val="00EE1481"/>
    <w:rsid w:val="00EE6A0F"/>
    <w:rsid w:val="00EF0031"/>
    <w:rsid w:val="00EF6107"/>
    <w:rsid w:val="00F42018"/>
    <w:rsid w:val="00F43895"/>
    <w:rsid w:val="00F47D2E"/>
    <w:rsid w:val="00F60FDF"/>
    <w:rsid w:val="00F8480A"/>
    <w:rsid w:val="00F93CE9"/>
    <w:rsid w:val="00F94725"/>
    <w:rsid w:val="00FB1F64"/>
    <w:rsid w:val="00FB2DD2"/>
    <w:rsid w:val="00FB5749"/>
    <w:rsid w:val="00FC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D2E"/>
  </w:style>
  <w:style w:type="paragraph" w:styleId="Heading1">
    <w:name w:val="heading 1"/>
    <w:basedOn w:val="Normal"/>
    <w:next w:val="Normal"/>
    <w:link w:val="Heading1Char"/>
    <w:uiPriority w:val="9"/>
    <w:qFormat/>
    <w:rsid w:val="00F47D2E"/>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F47D2E"/>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F47D2E"/>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F47D2E"/>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F47D2E"/>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F47D2E"/>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F47D2E"/>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F47D2E"/>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F47D2E"/>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2E"/>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F47D2E"/>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F47D2E"/>
    <w:rPr>
      <w:rFonts w:asciiTheme="majorHAnsi" w:eastAsiaTheme="majorEastAsia" w:hAnsiTheme="majorHAnsi" w:cstheme="majorBidi"/>
      <w:color w:val="1481AB" w:themeColor="accent1" w:themeShade="BF"/>
      <w:sz w:val="28"/>
      <w:szCs w:val="28"/>
    </w:rPr>
  </w:style>
  <w:style w:type="paragraph" w:styleId="ListParagraph">
    <w:name w:val="List Paragraph"/>
    <w:basedOn w:val="Normal"/>
    <w:uiPriority w:val="34"/>
    <w:qFormat/>
    <w:rsid w:val="00237147"/>
    <w:pPr>
      <w:ind w:left="720"/>
      <w:contextualSpacing/>
    </w:pPr>
  </w:style>
  <w:style w:type="table" w:styleId="LightShading-Accent1">
    <w:name w:val="Light Shading Accent 1"/>
    <w:basedOn w:val="TableNormal"/>
    <w:uiPriority w:val="60"/>
    <w:semiHidden/>
    <w:unhideWhenUsed/>
    <w:rsid w:val="00237147"/>
    <w:pPr>
      <w:spacing w:after="0" w:line="240" w:lineRule="auto"/>
    </w:pPr>
    <w:rPr>
      <w:color w:val="1481AB" w:themeColor="accent1" w:themeShade="BF"/>
      <w:sz w:val="20"/>
      <w:szCs w:val="20"/>
    </w:rPr>
    <w:tblPr>
      <w:tblStyleRowBandSize w:val="1"/>
      <w:tblStyleColBandSize w:val="1"/>
      <w:tblBorders>
        <w:top w:val="single" w:sz="8" w:space="0" w:color="1CADE4" w:themeColor="accent1"/>
        <w:bottom w:val="single" w:sz="8" w:space="0" w:color="1CADE4" w:themeColor="accent1"/>
      </w:tblBorders>
    </w:tblPr>
    <w:tblStylePr w:type="firstRow">
      <w:pPr>
        <w:spacing w:beforeLines="0" w:before="0" w:beforeAutospacing="0" w:afterLines="0" w:after="0" w:afterAutospacing="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4">
    <w:name w:val="Light Shading Accent 4"/>
    <w:basedOn w:val="TableNormal"/>
    <w:uiPriority w:val="60"/>
    <w:semiHidden/>
    <w:unhideWhenUsed/>
    <w:rsid w:val="00237147"/>
    <w:pPr>
      <w:spacing w:after="0" w:line="240" w:lineRule="auto"/>
    </w:pPr>
    <w:rPr>
      <w:color w:val="318B70" w:themeColor="accent4" w:themeShade="BF"/>
      <w:sz w:val="20"/>
      <w:szCs w:val="20"/>
    </w:rPr>
    <w:tblPr>
      <w:tblStyleRowBandSize w:val="1"/>
      <w:tblStyleColBandSize w:val="1"/>
      <w:tblBorders>
        <w:top w:val="single" w:sz="8" w:space="0" w:color="42BA97" w:themeColor="accent4"/>
        <w:bottom w:val="single" w:sz="8" w:space="0" w:color="42BA97" w:themeColor="accent4"/>
      </w:tblBorders>
    </w:tblPr>
    <w:tblStylePr w:type="firstRow">
      <w:pPr>
        <w:spacing w:beforeLines="0" w:before="0" w:beforeAutospacing="0" w:afterLines="0" w:after="0" w:afterAutospacing="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paragraph" w:styleId="Title">
    <w:name w:val="Title"/>
    <w:basedOn w:val="Normal"/>
    <w:next w:val="Normal"/>
    <w:link w:val="TitleChar"/>
    <w:uiPriority w:val="10"/>
    <w:qFormat/>
    <w:rsid w:val="00F47D2E"/>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F47D2E"/>
    <w:rPr>
      <w:rFonts w:asciiTheme="majorHAnsi" w:eastAsiaTheme="majorEastAsia" w:hAnsiTheme="majorHAnsi" w:cstheme="majorBidi"/>
      <w:caps/>
      <w:color w:val="335B74" w:themeColor="text2"/>
      <w:spacing w:val="-15"/>
      <w:sz w:val="72"/>
      <w:szCs w:val="72"/>
    </w:rPr>
  </w:style>
  <w:style w:type="paragraph" w:styleId="Header">
    <w:name w:val="header"/>
    <w:basedOn w:val="Normal"/>
    <w:link w:val="HeaderChar"/>
    <w:uiPriority w:val="99"/>
    <w:unhideWhenUsed/>
    <w:rsid w:val="00801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F83"/>
    <w:rPr>
      <w:sz w:val="20"/>
      <w:szCs w:val="20"/>
    </w:rPr>
  </w:style>
  <w:style w:type="paragraph" w:styleId="Footer">
    <w:name w:val="footer"/>
    <w:basedOn w:val="Normal"/>
    <w:link w:val="FooterChar"/>
    <w:uiPriority w:val="99"/>
    <w:unhideWhenUsed/>
    <w:rsid w:val="00801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F83"/>
    <w:rPr>
      <w:sz w:val="20"/>
      <w:szCs w:val="20"/>
    </w:rPr>
  </w:style>
  <w:style w:type="character" w:customStyle="1" w:styleId="Heading4Char">
    <w:name w:val="Heading 4 Char"/>
    <w:basedOn w:val="DefaultParagraphFont"/>
    <w:link w:val="Heading4"/>
    <w:uiPriority w:val="9"/>
    <w:semiHidden/>
    <w:rsid w:val="00F47D2E"/>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F47D2E"/>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F47D2E"/>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F47D2E"/>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F47D2E"/>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F47D2E"/>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unhideWhenUsed/>
    <w:qFormat/>
    <w:rsid w:val="00F47D2E"/>
    <w:pPr>
      <w:spacing w:line="240" w:lineRule="auto"/>
    </w:pPr>
    <w:rPr>
      <w:b/>
      <w:bCs/>
      <w:smallCaps/>
      <w:color w:val="335B74" w:themeColor="text2"/>
    </w:rPr>
  </w:style>
  <w:style w:type="paragraph" w:styleId="Subtitle">
    <w:name w:val="Subtitle"/>
    <w:basedOn w:val="Normal"/>
    <w:next w:val="Normal"/>
    <w:link w:val="SubtitleChar"/>
    <w:uiPriority w:val="11"/>
    <w:qFormat/>
    <w:rsid w:val="00F47D2E"/>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F47D2E"/>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F47D2E"/>
    <w:rPr>
      <w:b/>
      <w:bCs/>
    </w:rPr>
  </w:style>
  <w:style w:type="character" w:styleId="Emphasis">
    <w:name w:val="Emphasis"/>
    <w:basedOn w:val="DefaultParagraphFont"/>
    <w:uiPriority w:val="20"/>
    <w:qFormat/>
    <w:rsid w:val="00F47D2E"/>
    <w:rPr>
      <w:i/>
      <w:iCs/>
    </w:rPr>
  </w:style>
  <w:style w:type="paragraph" w:styleId="NoSpacing">
    <w:name w:val="No Spacing"/>
    <w:link w:val="NoSpacingChar"/>
    <w:uiPriority w:val="1"/>
    <w:qFormat/>
    <w:rsid w:val="00F47D2E"/>
    <w:pPr>
      <w:spacing w:after="0" w:line="240" w:lineRule="auto"/>
    </w:pPr>
  </w:style>
  <w:style w:type="paragraph" w:styleId="Quote">
    <w:name w:val="Quote"/>
    <w:basedOn w:val="Normal"/>
    <w:next w:val="Normal"/>
    <w:link w:val="QuoteChar"/>
    <w:uiPriority w:val="29"/>
    <w:qFormat/>
    <w:rsid w:val="00F47D2E"/>
    <w:pPr>
      <w:spacing w:before="120"/>
      <w:ind w:left="720"/>
    </w:pPr>
    <w:rPr>
      <w:color w:val="335B74" w:themeColor="text2"/>
      <w:sz w:val="24"/>
      <w:szCs w:val="24"/>
    </w:rPr>
  </w:style>
  <w:style w:type="character" w:customStyle="1" w:styleId="QuoteChar">
    <w:name w:val="Quote Char"/>
    <w:basedOn w:val="DefaultParagraphFont"/>
    <w:link w:val="Quote"/>
    <w:uiPriority w:val="29"/>
    <w:rsid w:val="00F47D2E"/>
    <w:rPr>
      <w:color w:val="335B74" w:themeColor="text2"/>
      <w:sz w:val="24"/>
      <w:szCs w:val="24"/>
    </w:rPr>
  </w:style>
  <w:style w:type="paragraph" w:styleId="IntenseQuote">
    <w:name w:val="Intense Quote"/>
    <w:basedOn w:val="Normal"/>
    <w:next w:val="Normal"/>
    <w:link w:val="IntenseQuoteChar"/>
    <w:uiPriority w:val="30"/>
    <w:qFormat/>
    <w:rsid w:val="00F47D2E"/>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F47D2E"/>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F47D2E"/>
    <w:rPr>
      <w:i/>
      <w:iCs/>
      <w:color w:val="595959" w:themeColor="text1" w:themeTint="A6"/>
    </w:rPr>
  </w:style>
  <w:style w:type="character" w:styleId="IntenseEmphasis">
    <w:name w:val="Intense Emphasis"/>
    <w:basedOn w:val="DefaultParagraphFont"/>
    <w:uiPriority w:val="21"/>
    <w:qFormat/>
    <w:rsid w:val="00F47D2E"/>
    <w:rPr>
      <w:b/>
      <w:bCs/>
      <w:i/>
      <w:iCs/>
    </w:rPr>
  </w:style>
  <w:style w:type="character" w:styleId="SubtleReference">
    <w:name w:val="Subtle Reference"/>
    <w:basedOn w:val="DefaultParagraphFont"/>
    <w:uiPriority w:val="31"/>
    <w:qFormat/>
    <w:rsid w:val="00F47D2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7D2E"/>
    <w:rPr>
      <w:b/>
      <w:bCs/>
      <w:smallCaps/>
      <w:color w:val="335B74" w:themeColor="text2"/>
      <w:u w:val="single"/>
    </w:rPr>
  </w:style>
  <w:style w:type="character" w:styleId="BookTitle">
    <w:name w:val="Book Title"/>
    <w:basedOn w:val="DefaultParagraphFont"/>
    <w:uiPriority w:val="33"/>
    <w:qFormat/>
    <w:rsid w:val="00F47D2E"/>
    <w:rPr>
      <w:b/>
      <w:bCs/>
      <w:smallCaps/>
      <w:spacing w:val="10"/>
    </w:rPr>
  </w:style>
  <w:style w:type="paragraph" w:styleId="TOCHeading">
    <w:name w:val="TOC Heading"/>
    <w:basedOn w:val="Heading1"/>
    <w:next w:val="Normal"/>
    <w:uiPriority w:val="39"/>
    <w:semiHidden/>
    <w:unhideWhenUsed/>
    <w:qFormat/>
    <w:rsid w:val="00F47D2E"/>
    <w:pPr>
      <w:outlineLvl w:val="9"/>
    </w:pPr>
  </w:style>
  <w:style w:type="paragraph" w:customStyle="1" w:styleId="Graphic">
    <w:name w:val="Graphic"/>
    <w:basedOn w:val="Normal"/>
    <w:qFormat/>
    <w:rsid w:val="00AA1A8A"/>
    <w:pPr>
      <w:spacing w:before="480" w:after="0"/>
    </w:pPr>
    <w:rPr>
      <w:noProof/>
    </w:rPr>
  </w:style>
  <w:style w:type="character" w:customStyle="1" w:styleId="NoSpacingChar">
    <w:name w:val="No Spacing Char"/>
    <w:basedOn w:val="DefaultParagraphFont"/>
    <w:link w:val="NoSpacing"/>
    <w:uiPriority w:val="1"/>
    <w:rsid w:val="00A90B2C"/>
  </w:style>
  <w:style w:type="character" w:styleId="PlaceholderText">
    <w:name w:val="Placeholder Text"/>
    <w:basedOn w:val="DefaultParagraphFont"/>
    <w:uiPriority w:val="99"/>
    <w:semiHidden/>
    <w:rsid w:val="005154DB"/>
    <w:rPr>
      <w:color w:val="808080"/>
    </w:rPr>
  </w:style>
  <w:style w:type="table" w:styleId="TableGrid">
    <w:name w:val="Table Grid"/>
    <w:basedOn w:val="TableNormal"/>
    <w:uiPriority w:val="39"/>
    <w:rsid w:val="00464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6432F"/>
    <w:pPr>
      <w:spacing w:before="20" w:after="2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cPr>
      <w:vAlign w:val="center"/>
    </w:tc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4-Accent5">
    <w:name w:val="Grid Table 4 Accent 5"/>
    <w:basedOn w:val="TableNormal"/>
    <w:uiPriority w:val="49"/>
    <w:rsid w:val="009A3D51"/>
    <w:pPr>
      <w:spacing w:after="0" w:line="240" w:lineRule="auto"/>
    </w:p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val="0"/>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ListTable4-Accent6">
    <w:name w:val="List Table 4 Accent 6"/>
    <w:basedOn w:val="TableNormal"/>
    <w:uiPriority w:val="49"/>
    <w:rsid w:val="009A3D51"/>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2">
    <w:name w:val="List Table 4 Accent 2"/>
    <w:basedOn w:val="TableNormal"/>
    <w:uiPriority w:val="49"/>
    <w:rsid w:val="002855FE"/>
    <w:pPr>
      <w:spacing w:after="0" w:line="240" w:lineRule="auto"/>
    </w:pPr>
    <w:rPr>
      <w:color w:val="595959" w:themeColor="text1" w:themeTint="A6"/>
    </w:rPr>
    <w:tblPr>
      <w:tblStyleRowBandSize w:val="1"/>
      <w:tblStyleColBandSize w:val="1"/>
      <w:tblBorders>
        <w:top w:val="single" w:sz="4" w:space="0" w:color="D0E6F6" w:themeColor="accent2" w:themeTint="33"/>
        <w:left w:val="single" w:sz="4" w:space="0" w:color="D0E6F6" w:themeColor="accent2" w:themeTint="33"/>
        <w:bottom w:val="single" w:sz="4" w:space="0" w:color="D0E6F6" w:themeColor="accent2" w:themeTint="33"/>
        <w:right w:val="single" w:sz="4" w:space="0" w:color="D0E6F6" w:themeColor="accent2" w:themeTint="33"/>
        <w:insideH w:val="single" w:sz="4" w:space="0" w:color="D0E6F6" w:themeColor="accent2" w:themeTint="33"/>
      </w:tblBorders>
    </w:tblPr>
    <w:tblStylePr w:type="firstRow">
      <w:rPr>
        <w:b w:val="0"/>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Vert">
      <w:tblPr/>
      <w:tcPr>
        <w:shd w:val="clear" w:color="auto" w:fill="DFE3E5" w:themeFill="background2"/>
      </w:tcPr>
    </w:tblStylePr>
    <w:tblStylePr w:type="band1Horz">
      <w:tblPr/>
      <w:tcPr>
        <w:shd w:val="clear" w:color="auto" w:fill="DFE3E5" w:themeFill="background2"/>
      </w:tcPr>
    </w:tblStylePr>
  </w:style>
  <w:style w:type="character" w:styleId="CommentReference">
    <w:name w:val="annotation reference"/>
    <w:basedOn w:val="DefaultParagraphFont"/>
    <w:uiPriority w:val="99"/>
    <w:semiHidden/>
    <w:unhideWhenUsed/>
    <w:rsid w:val="00422DAD"/>
    <w:rPr>
      <w:sz w:val="16"/>
      <w:szCs w:val="16"/>
    </w:rPr>
  </w:style>
  <w:style w:type="paragraph" w:styleId="CommentText">
    <w:name w:val="annotation text"/>
    <w:basedOn w:val="Normal"/>
    <w:link w:val="CommentTextChar"/>
    <w:uiPriority w:val="99"/>
    <w:semiHidden/>
    <w:unhideWhenUsed/>
    <w:rsid w:val="00422DAD"/>
    <w:pPr>
      <w:spacing w:line="240" w:lineRule="auto"/>
    </w:pPr>
    <w:rPr>
      <w:sz w:val="20"/>
      <w:szCs w:val="20"/>
    </w:rPr>
  </w:style>
  <w:style w:type="character" w:customStyle="1" w:styleId="CommentTextChar">
    <w:name w:val="Comment Text Char"/>
    <w:basedOn w:val="DefaultParagraphFont"/>
    <w:link w:val="CommentText"/>
    <w:uiPriority w:val="99"/>
    <w:semiHidden/>
    <w:rsid w:val="00422DAD"/>
    <w:rPr>
      <w:sz w:val="20"/>
      <w:szCs w:val="20"/>
    </w:rPr>
  </w:style>
  <w:style w:type="paragraph" w:styleId="CommentSubject">
    <w:name w:val="annotation subject"/>
    <w:basedOn w:val="CommentText"/>
    <w:next w:val="CommentText"/>
    <w:link w:val="CommentSubjectChar"/>
    <w:uiPriority w:val="99"/>
    <w:semiHidden/>
    <w:unhideWhenUsed/>
    <w:rsid w:val="00422DAD"/>
    <w:rPr>
      <w:b/>
      <w:bCs/>
    </w:rPr>
  </w:style>
  <w:style w:type="character" w:customStyle="1" w:styleId="CommentSubjectChar">
    <w:name w:val="Comment Subject Char"/>
    <w:basedOn w:val="CommentTextChar"/>
    <w:link w:val="CommentSubject"/>
    <w:uiPriority w:val="99"/>
    <w:semiHidden/>
    <w:rsid w:val="00422DAD"/>
    <w:rPr>
      <w:b/>
      <w:bCs/>
      <w:sz w:val="20"/>
      <w:szCs w:val="20"/>
    </w:rPr>
  </w:style>
  <w:style w:type="paragraph" w:styleId="BalloonText">
    <w:name w:val="Balloon Text"/>
    <w:basedOn w:val="Normal"/>
    <w:link w:val="BalloonTextChar"/>
    <w:uiPriority w:val="99"/>
    <w:semiHidden/>
    <w:unhideWhenUsed/>
    <w:rsid w:val="00422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D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632583">
      <w:bodyDiv w:val="1"/>
      <w:marLeft w:val="0"/>
      <w:marRight w:val="0"/>
      <w:marTop w:val="0"/>
      <w:marBottom w:val="0"/>
      <w:divBdr>
        <w:top w:val="none" w:sz="0" w:space="0" w:color="auto"/>
        <w:left w:val="none" w:sz="0" w:space="0" w:color="auto"/>
        <w:bottom w:val="none" w:sz="0" w:space="0" w:color="auto"/>
        <w:right w:val="none" w:sz="0" w:space="0" w:color="auto"/>
      </w:divBdr>
    </w:div>
    <w:div w:id="1002733157">
      <w:bodyDiv w:val="1"/>
      <w:marLeft w:val="0"/>
      <w:marRight w:val="0"/>
      <w:marTop w:val="0"/>
      <w:marBottom w:val="0"/>
      <w:divBdr>
        <w:top w:val="none" w:sz="0" w:space="0" w:color="auto"/>
        <w:left w:val="none" w:sz="0" w:space="0" w:color="auto"/>
        <w:bottom w:val="none" w:sz="0" w:space="0" w:color="auto"/>
        <w:right w:val="none" w:sz="0" w:space="0" w:color="auto"/>
      </w:divBdr>
      <w:divsChild>
        <w:div w:id="180630957">
          <w:marLeft w:val="0"/>
          <w:marRight w:val="0"/>
          <w:marTop w:val="0"/>
          <w:marBottom w:val="0"/>
          <w:divBdr>
            <w:top w:val="none" w:sz="0" w:space="0" w:color="auto"/>
            <w:left w:val="none" w:sz="0" w:space="0" w:color="auto"/>
            <w:bottom w:val="none" w:sz="0" w:space="0" w:color="auto"/>
            <w:right w:val="none" w:sz="0" w:space="0" w:color="auto"/>
          </w:divBdr>
          <w:divsChild>
            <w:div w:id="2047221102">
              <w:marLeft w:val="0"/>
              <w:marRight w:val="0"/>
              <w:marTop w:val="0"/>
              <w:marBottom w:val="0"/>
              <w:divBdr>
                <w:top w:val="none" w:sz="0" w:space="0" w:color="auto"/>
                <w:left w:val="none" w:sz="0" w:space="0" w:color="auto"/>
                <w:bottom w:val="none" w:sz="0" w:space="0" w:color="auto"/>
                <w:right w:val="none" w:sz="0" w:space="0" w:color="auto"/>
              </w:divBdr>
              <w:divsChild>
                <w:div w:id="2912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7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mn-lt"/>
                <a:ea typeface="+mn-ea"/>
                <a:cs typeface="+mn-cs"/>
              </a:defRPr>
            </a:pPr>
            <a:r>
              <a:rPr lang="en-US" sz="1400"/>
              <a:t>Combined Focus Group Results</a:t>
            </a:r>
          </a:p>
        </c:rich>
      </c:tx>
      <c:overlay val="0"/>
      <c:spPr>
        <a:noFill/>
        <a:ln>
          <a:noFill/>
        </a:ln>
        <a:effectLst/>
      </c:spPr>
      <c:txPr>
        <a:bodyPr rot="0" spcFirstLastPara="1" vertOverflow="ellipsis" vert="horz" wrap="square" anchor="ctr" anchorCtr="1"/>
        <a:lstStyle/>
        <a:p>
          <a:pPr>
            <a:defRPr sz="14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Strongly Disagree</c:v>
                </c:pt>
              </c:strCache>
            </c:strRef>
          </c:tx>
          <c:spPr>
            <a:solidFill>
              <a:schemeClr val="accent2">
                <a:tint val="54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Sheet1!$B$2:$B$5</c:f>
              <c:numCache>
                <c:formatCode>0%</c:formatCode>
                <c:ptCount val="4"/>
                <c:pt idx="0">
                  <c:v>0.05</c:v>
                </c:pt>
                <c:pt idx="1">
                  <c:v>0.4</c:v>
                </c:pt>
                <c:pt idx="2">
                  <c:v>0.2</c:v>
                </c:pt>
                <c:pt idx="3">
                  <c:v>7.0000000000000007E-2</c:v>
                </c:pt>
              </c:numCache>
            </c:numRef>
          </c:val>
        </c:ser>
        <c:ser>
          <c:idx val="1"/>
          <c:order val="1"/>
          <c:tx>
            <c:strRef>
              <c:f>Sheet1!$C$1</c:f>
              <c:strCache>
                <c:ptCount val="1"/>
                <c:pt idx="0">
                  <c:v>Disagree</c:v>
                </c:pt>
              </c:strCache>
            </c:strRef>
          </c:tx>
          <c:spPr>
            <a:solidFill>
              <a:schemeClr val="accent2">
                <a:tint val="7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Sheet1!$C$2:$C$5</c:f>
              <c:numCache>
                <c:formatCode>0%</c:formatCode>
                <c:ptCount val="4"/>
                <c:pt idx="0">
                  <c:v>0.11</c:v>
                </c:pt>
                <c:pt idx="1">
                  <c:v>0.13</c:v>
                </c:pt>
                <c:pt idx="2">
                  <c:v>0.25</c:v>
                </c:pt>
                <c:pt idx="3">
                  <c:v>0.1</c:v>
                </c:pt>
              </c:numCache>
            </c:numRef>
          </c:val>
        </c:ser>
        <c:ser>
          <c:idx val="2"/>
          <c:order val="2"/>
          <c:tx>
            <c:strRef>
              <c:f>Sheet1!$D$1</c:f>
              <c:strCache>
                <c:ptCount val="1"/>
                <c:pt idx="0">
                  <c:v>Neutral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Sheet1!$D$2:$D$5</c:f>
              <c:numCache>
                <c:formatCode>0%</c:formatCode>
                <c:ptCount val="4"/>
                <c:pt idx="0">
                  <c:v>0.16</c:v>
                </c:pt>
                <c:pt idx="1">
                  <c:v>0.19</c:v>
                </c:pt>
                <c:pt idx="2">
                  <c:v>0.21</c:v>
                </c:pt>
                <c:pt idx="3">
                  <c:v>0.12</c:v>
                </c:pt>
              </c:numCache>
            </c:numRef>
          </c:val>
        </c:ser>
        <c:ser>
          <c:idx val="3"/>
          <c:order val="3"/>
          <c:tx>
            <c:strRef>
              <c:f>Sheet1!$E$1</c:f>
              <c:strCache>
                <c:ptCount val="1"/>
                <c:pt idx="0">
                  <c:v>Agree</c:v>
                </c:pt>
              </c:strCache>
            </c:strRef>
          </c:tx>
          <c:spPr>
            <a:solidFill>
              <a:schemeClr val="accent2">
                <a:shade val="7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Sheet1!$E$2:$E$5</c:f>
              <c:numCache>
                <c:formatCode>0%</c:formatCode>
                <c:ptCount val="4"/>
                <c:pt idx="0">
                  <c:v>0.28000000000000003</c:v>
                </c:pt>
                <c:pt idx="1">
                  <c:v>0.08</c:v>
                </c:pt>
                <c:pt idx="2">
                  <c:v>0.14000000000000001</c:v>
                </c:pt>
                <c:pt idx="3">
                  <c:v>0.2</c:v>
                </c:pt>
              </c:numCache>
            </c:numRef>
          </c:val>
        </c:ser>
        <c:ser>
          <c:idx val="4"/>
          <c:order val="4"/>
          <c:tx>
            <c:strRef>
              <c:f>Sheet1!$F$1</c:f>
              <c:strCache>
                <c:ptCount val="1"/>
                <c:pt idx="0">
                  <c:v>Strongly Agree</c:v>
                </c:pt>
              </c:strCache>
            </c:strRef>
          </c:tx>
          <c:spPr>
            <a:solidFill>
              <a:schemeClr val="accent2">
                <a:shade val="5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Group A</c:v>
                </c:pt>
                <c:pt idx="1">
                  <c:v>Group B</c:v>
                </c:pt>
                <c:pt idx="2">
                  <c:v>Group C</c:v>
                </c:pt>
                <c:pt idx="3">
                  <c:v>Group D</c:v>
                </c:pt>
              </c:strCache>
            </c:strRef>
          </c:cat>
          <c:val>
            <c:numRef>
              <c:f>Sheet1!$F$2:$F$5</c:f>
              <c:numCache>
                <c:formatCode>0%</c:formatCode>
                <c:ptCount val="4"/>
                <c:pt idx="0">
                  <c:v>0.4</c:v>
                </c:pt>
                <c:pt idx="1">
                  <c:v>0.2</c:v>
                </c:pt>
                <c:pt idx="2">
                  <c:v>0.2</c:v>
                </c:pt>
                <c:pt idx="3">
                  <c:v>0.51</c:v>
                </c:pt>
              </c:numCache>
            </c:numRef>
          </c:val>
        </c:ser>
        <c:dLbls>
          <c:dLblPos val="outEnd"/>
          <c:showLegendKey val="0"/>
          <c:showVal val="1"/>
          <c:showCatName val="0"/>
          <c:showSerName val="0"/>
          <c:showPercent val="0"/>
          <c:showBubbleSize val="0"/>
        </c:dLbls>
        <c:gapWidth val="444"/>
        <c:overlap val="-90"/>
        <c:axId val="952714720"/>
        <c:axId val="952715264"/>
      </c:barChart>
      <c:catAx>
        <c:axId val="952714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cap="all" spc="120" normalizeH="0" baseline="0">
                <a:solidFill>
                  <a:schemeClr val="tx1">
                    <a:lumMod val="65000"/>
                    <a:lumOff val="35000"/>
                  </a:schemeClr>
                </a:solidFill>
                <a:latin typeface="+mn-lt"/>
                <a:ea typeface="+mn-ea"/>
                <a:cs typeface="+mn-cs"/>
              </a:defRPr>
            </a:pPr>
            <a:endParaRPr lang="en-US"/>
          </a:p>
        </c:txPr>
        <c:crossAx val="952715264"/>
        <c:crosses val="autoZero"/>
        <c:auto val="1"/>
        <c:lblAlgn val="ctr"/>
        <c:lblOffset val="100"/>
        <c:noMultiLvlLbl val="0"/>
      </c:catAx>
      <c:valAx>
        <c:axId val="952715264"/>
        <c:scaling>
          <c:orientation val="minMax"/>
        </c:scaling>
        <c:delete val="1"/>
        <c:axPos val="l"/>
        <c:numFmt formatCode="0%" sourceLinked="1"/>
        <c:majorTickMark val="none"/>
        <c:minorTickMark val="none"/>
        <c:tickLblPos val="nextTo"/>
        <c:crossAx val="95271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sz="10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423EC8-1E72-4D27-AEF8-98DD95261C8D}" type="doc">
      <dgm:prSet loTypeId="urn:microsoft.com/office/officeart/2005/8/layout/hProcess9" loCatId="process" qsTypeId="urn:microsoft.com/office/officeart/2005/8/quickstyle/simple1" qsCatId="simple" csTypeId="new unique ID" csCatId="colorful" phldr="1"/>
      <dgm:spPr/>
    </dgm:pt>
    <dgm:pt modelId="{BAEFBDBB-1137-4DE7-BC93-70ADA7685995}">
      <dgm:prSet phldrT="[Text]"/>
      <dgm:spPr/>
      <dgm:t>
        <a:bodyPr/>
        <a:lstStyle/>
        <a:p>
          <a:r>
            <a:rPr lang="en-US"/>
            <a:t>New Logo</a:t>
          </a:r>
        </a:p>
      </dgm:t>
    </dgm:pt>
    <dgm:pt modelId="{1012DB95-3137-43DC-82FF-729CC06176A2}" type="parTrans" cxnId="{A60821F1-96C9-478A-BBDB-17F01EF05E09}">
      <dgm:prSet/>
      <dgm:spPr/>
      <dgm:t>
        <a:bodyPr/>
        <a:lstStyle/>
        <a:p>
          <a:endParaRPr lang="en-US"/>
        </a:p>
      </dgm:t>
    </dgm:pt>
    <dgm:pt modelId="{9846ACF9-2B96-4E8A-B08D-F04131C0F0E2}" type="sibTrans" cxnId="{A60821F1-96C9-478A-BBDB-17F01EF05E09}">
      <dgm:prSet/>
      <dgm:spPr/>
      <dgm:t>
        <a:bodyPr/>
        <a:lstStyle/>
        <a:p>
          <a:endParaRPr lang="en-US"/>
        </a:p>
      </dgm:t>
    </dgm:pt>
    <dgm:pt modelId="{59A25A32-0A17-46BB-A180-4AC2E7DF77AB}">
      <dgm:prSet phldrT="[Text]"/>
      <dgm:spPr/>
      <dgm:t>
        <a:bodyPr/>
        <a:lstStyle/>
        <a:p>
          <a:r>
            <a:rPr lang="en-US"/>
            <a:t>Brand Colors</a:t>
          </a:r>
        </a:p>
      </dgm:t>
    </dgm:pt>
    <dgm:pt modelId="{C18149CF-F182-424E-8C51-9761EB0C89D4}" type="parTrans" cxnId="{3F2FD948-E390-4742-BA1B-1DD76205F59B}">
      <dgm:prSet/>
      <dgm:spPr/>
      <dgm:t>
        <a:bodyPr/>
        <a:lstStyle/>
        <a:p>
          <a:endParaRPr lang="en-US"/>
        </a:p>
      </dgm:t>
    </dgm:pt>
    <dgm:pt modelId="{889A4D83-72AF-47D4-9923-22F9C8558146}" type="sibTrans" cxnId="{3F2FD948-E390-4742-BA1B-1DD76205F59B}">
      <dgm:prSet/>
      <dgm:spPr/>
      <dgm:t>
        <a:bodyPr/>
        <a:lstStyle/>
        <a:p>
          <a:endParaRPr lang="en-US"/>
        </a:p>
      </dgm:t>
    </dgm:pt>
    <dgm:pt modelId="{30CB66A9-1CE6-45FB-9E31-388D08339D29}">
      <dgm:prSet phldrT="[Text]"/>
      <dgm:spPr>
        <a:solidFill>
          <a:schemeClr val="accent5"/>
        </a:solidFill>
      </dgm:spPr>
      <dgm:t>
        <a:bodyPr/>
        <a:lstStyle/>
        <a:p>
          <a:r>
            <a:rPr lang="en-US"/>
            <a:t>Nature Friendly</a:t>
          </a:r>
        </a:p>
      </dgm:t>
    </dgm:pt>
    <dgm:pt modelId="{023A854E-3C07-4272-A39E-E44B8253F8D4}" type="parTrans" cxnId="{18D13E3B-CCF3-421B-80A5-00E8B59AD913}">
      <dgm:prSet/>
      <dgm:spPr/>
      <dgm:t>
        <a:bodyPr/>
        <a:lstStyle/>
        <a:p>
          <a:endParaRPr lang="en-US"/>
        </a:p>
      </dgm:t>
    </dgm:pt>
    <dgm:pt modelId="{EEB33025-AAF7-4889-B9E1-F1A43520EF40}" type="sibTrans" cxnId="{18D13E3B-CCF3-421B-80A5-00E8B59AD913}">
      <dgm:prSet/>
      <dgm:spPr/>
      <dgm:t>
        <a:bodyPr/>
        <a:lstStyle/>
        <a:p>
          <a:endParaRPr lang="en-US"/>
        </a:p>
      </dgm:t>
    </dgm:pt>
    <dgm:pt modelId="{909B88DD-D980-4DB8-A105-E91F24251342}" type="pres">
      <dgm:prSet presAssocID="{30423EC8-1E72-4D27-AEF8-98DD95261C8D}" presName="CompostProcess" presStyleCnt="0">
        <dgm:presLayoutVars>
          <dgm:dir/>
          <dgm:resizeHandles val="exact"/>
        </dgm:presLayoutVars>
      </dgm:prSet>
      <dgm:spPr/>
    </dgm:pt>
    <dgm:pt modelId="{36435C1D-E5C8-4926-9A61-68E9E3007476}" type="pres">
      <dgm:prSet presAssocID="{30423EC8-1E72-4D27-AEF8-98DD95261C8D}" presName="arrow" presStyleLbl="bgShp" presStyleIdx="0" presStyleCnt="1"/>
      <dgm:spPr/>
    </dgm:pt>
    <dgm:pt modelId="{463E06BC-F001-41C1-A808-70E80B144391}" type="pres">
      <dgm:prSet presAssocID="{30423EC8-1E72-4D27-AEF8-98DD95261C8D}" presName="linearProcess" presStyleCnt="0"/>
      <dgm:spPr/>
    </dgm:pt>
    <dgm:pt modelId="{E39ABB6A-E49B-49A8-872B-1B5658FBF8ED}" type="pres">
      <dgm:prSet presAssocID="{BAEFBDBB-1137-4DE7-BC93-70ADA7685995}" presName="textNode" presStyleLbl="node1" presStyleIdx="0" presStyleCnt="3">
        <dgm:presLayoutVars>
          <dgm:bulletEnabled val="1"/>
        </dgm:presLayoutVars>
      </dgm:prSet>
      <dgm:spPr/>
      <dgm:t>
        <a:bodyPr/>
        <a:lstStyle/>
        <a:p>
          <a:endParaRPr lang="en-US"/>
        </a:p>
      </dgm:t>
    </dgm:pt>
    <dgm:pt modelId="{3AF227F0-D7B7-4D34-840C-7CC3406B1001}" type="pres">
      <dgm:prSet presAssocID="{9846ACF9-2B96-4E8A-B08D-F04131C0F0E2}" presName="sibTrans" presStyleCnt="0"/>
      <dgm:spPr/>
    </dgm:pt>
    <dgm:pt modelId="{FEE8D6A9-0020-4151-8AB1-DA18CB03D60F}" type="pres">
      <dgm:prSet presAssocID="{59A25A32-0A17-46BB-A180-4AC2E7DF77AB}" presName="textNode" presStyleLbl="node1" presStyleIdx="1" presStyleCnt="3">
        <dgm:presLayoutVars>
          <dgm:bulletEnabled val="1"/>
        </dgm:presLayoutVars>
      </dgm:prSet>
      <dgm:spPr/>
      <dgm:t>
        <a:bodyPr/>
        <a:lstStyle/>
        <a:p>
          <a:endParaRPr lang="en-US"/>
        </a:p>
      </dgm:t>
    </dgm:pt>
    <dgm:pt modelId="{4EA60800-94A3-4F84-A27D-6376297C81CA}" type="pres">
      <dgm:prSet presAssocID="{889A4D83-72AF-47D4-9923-22F9C8558146}" presName="sibTrans" presStyleCnt="0"/>
      <dgm:spPr/>
    </dgm:pt>
    <dgm:pt modelId="{40123BB1-3800-48D6-BC5B-5F51E3D790A5}" type="pres">
      <dgm:prSet presAssocID="{30CB66A9-1CE6-45FB-9E31-388D08339D29}" presName="textNode" presStyleLbl="node1" presStyleIdx="2" presStyleCnt="3">
        <dgm:presLayoutVars>
          <dgm:bulletEnabled val="1"/>
        </dgm:presLayoutVars>
      </dgm:prSet>
      <dgm:spPr/>
      <dgm:t>
        <a:bodyPr/>
        <a:lstStyle/>
        <a:p>
          <a:endParaRPr lang="en-US"/>
        </a:p>
      </dgm:t>
    </dgm:pt>
  </dgm:ptLst>
  <dgm:cxnLst>
    <dgm:cxn modelId="{A60821F1-96C9-478A-BBDB-17F01EF05E09}" srcId="{30423EC8-1E72-4D27-AEF8-98DD95261C8D}" destId="{BAEFBDBB-1137-4DE7-BC93-70ADA7685995}" srcOrd="0" destOrd="0" parTransId="{1012DB95-3137-43DC-82FF-729CC06176A2}" sibTransId="{9846ACF9-2B96-4E8A-B08D-F04131C0F0E2}"/>
    <dgm:cxn modelId="{E9FDCDDB-CA65-4D9E-A7A6-6F348CDB641F}" type="presOf" srcId="{30423EC8-1E72-4D27-AEF8-98DD95261C8D}" destId="{909B88DD-D980-4DB8-A105-E91F24251342}" srcOrd="0" destOrd="0" presId="urn:microsoft.com/office/officeart/2005/8/layout/hProcess9"/>
    <dgm:cxn modelId="{3F2FD948-E390-4742-BA1B-1DD76205F59B}" srcId="{30423EC8-1E72-4D27-AEF8-98DD95261C8D}" destId="{59A25A32-0A17-46BB-A180-4AC2E7DF77AB}" srcOrd="1" destOrd="0" parTransId="{C18149CF-F182-424E-8C51-9761EB0C89D4}" sibTransId="{889A4D83-72AF-47D4-9923-22F9C8558146}"/>
    <dgm:cxn modelId="{18D13E3B-CCF3-421B-80A5-00E8B59AD913}" srcId="{30423EC8-1E72-4D27-AEF8-98DD95261C8D}" destId="{30CB66A9-1CE6-45FB-9E31-388D08339D29}" srcOrd="2" destOrd="0" parTransId="{023A854E-3C07-4272-A39E-E44B8253F8D4}" sibTransId="{EEB33025-AAF7-4889-B9E1-F1A43520EF40}"/>
    <dgm:cxn modelId="{8D2D97EC-822C-47CA-B63E-8EDBD1442644}" type="presOf" srcId="{59A25A32-0A17-46BB-A180-4AC2E7DF77AB}" destId="{FEE8D6A9-0020-4151-8AB1-DA18CB03D60F}" srcOrd="0" destOrd="0" presId="urn:microsoft.com/office/officeart/2005/8/layout/hProcess9"/>
    <dgm:cxn modelId="{DD26F9CE-75B8-4D2F-BDC2-7838BB3D5883}" type="presOf" srcId="{30CB66A9-1CE6-45FB-9E31-388D08339D29}" destId="{40123BB1-3800-48D6-BC5B-5F51E3D790A5}" srcOrd="0" destOrd="0" presId="urn:microsoft.com/office/officeart/2005/8/layout/hProcess9"/>
    <dgm:cxn modelId="{B1A5FFCE-3109-4FBB-91AC-17B06BD9E123}" type="presOf" srcId="{BAEFBDBB-1137-4DE7-BC93-70ADA7685995}" destId="{E39ABB6A-E49B-49A8-872B-1B5658FBF8ED}" srcOrd="0" destOrd="0" presId="urn:microsoft.com/office/officeart/2005/8/layout/hProcess9"/>
    <dgm:cxn modelId="{A061A6F1-3B2F-40B2-97F8-82D1E1308498}" type="presParOf" srcId="{909B88DD-D980-4DB8-A105-E91F24251342}" destId="{36435C1D-E5C8-4926-9A61-68E9E3007476}" srcOrd="0" destOrd="0" presId="urn:microsoft.com/office/officeart/2005/8/layout/hProcess9"/>
    <dgm:cxn modelId="{4CED8A00-9C37-4EAB-88D6-3AF4BD93ACFE}" type="presParOf" srcId="{909B88DD-D980-4DB8-A105-E91F24251342}" destId="{463E06BC-F001-41C1-A808-70E80B144391}" srcOrd="1" destOrd="0" presId="urn:microsoft.com/office/officeart/2005/8/layout/hProcess9"/>
    <dgm:cxn modelId="{2984A22A-06C7-4C5D-9160-939241C2A5CC}" type="presParOf" srcId="{463E06BC-F001-41C1-A808-70E80B144391}" destId="{E39ABB6A-E49B-49A8-872B-1B5658FBF8ED}" srcOrd="0" destOrd="0" presId="urn:microsoft.com/office/officeart/2005/8/layout/hProcess9"/>
    <dgm:cxn modelId="{9A431751-A654-46C6-A801-8BFE87A03787}" type="presParOf" srcId="{463E06BC-F001-41C1-A808-70E80B144391}" destId="{3AF227F0-D7B7-4D34-840C-7CC3406B1001}" srcOrd="1" destOrd="0" presId="urn:microsoft.com/office/officeart/2005/8/layout/hProcess9"/>
    <dgm:cxn modelId="{476A2E61-CEC1-4B8B-B1FB-5AF4CB2A84AD}" type="presParOf" srcId="{463E06BC-F001-41C1-A808-70E80B144391}" destId="{FEE8D6A9-0020-4151-8AB1-DA18CB03D60F}" srcOrd="2" destOrd="0" presId="urn:microsoft.com/office/officeart/2005/8/layout/hProcess9"/>
    <dgm:cxn modelId="{889CD9C2-E37A-4823-B94B-04D73122E17E}" type="presParOf" srcId="{463E06BC-F001-41C1-A808-70E80B144391}" destId="{4EA60800-94A3-4F84-A27D-6376297C81CA}" srcOrd="3" destOrd="0" presId="urn:microsoft.com/office/officeart/2005/8/layout/hProcess9"/>
    <dgm:cxn modelId="{2008F907-EFEC-4C22-91FD-12B8665C8B08}" type="presParOf" srcId="{463E06BC-F001-41C1-A808-70E80B144391}" destId="{40123BB1-3800-48D6-BC5B-5F51E3D790A5}" srcOrd="4"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435C1D-E5C8-4926-9A61-68E9E3007476}">
      <dsp:nvSpPr>
        <dsp:cNvPr id="0" name=""/>
        <dsp:cNvSpPr/>
      </dsp:nvSpPr>
      <dsp:spPr>
        <a:xfrm>
          <a:off x="442198" y="0"/>
          <a:ext cx="5011578" cy="126682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39ABB6A-E49B-49A8-872B-1B5658FBF8ED}">
      <dsp:nvSpPr>
        <dsp:cNvPr id="0" name=""/>
        <dsp:cNvSpPr/>
      </dsp:nvSpPr>
      <dsp:spPr>
        <a:xfrm>
          <a:off x="107" y="380047"/>
          <a:ext cx="1872360" cy="506730"/>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New Logo</a:t>
          </a:r>
        </a:p>
      </dsp:txBody>
      <dsp:txXfrm>
        <a:off x="24844" y="404784"/>
        <a:ext cx="1822886" cy="457256"/>
      </dsp:txXfrm>
    </dsp:sp>
    <dsp:sp modelId="{FEE8D6A9-0020-4151-8AB1-DA18CB03D60F}">
      <dsp:nvSpPr>
        <dsp:cNvPr id="0" name=""/>
        <dsp:cNvSpPr/>
      </dsp:nvSpPr>
      <dsp:spPr>
        <a:xfrm>
          <a:off x="2011807" y="380047"/>
          <a:ext cx="1872360" cy="506730"/>
        </a:xfrm>
        <a:prstGeom prst="roundRect">
          <a:avLst/>
        </a:prstGeom>
        <a:solidFill>
          <a:schemeClr val="accent2">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Brand Colors</a:t>
          </a:r>
        </a:p>
      </dsp:txBody>
      <dsp:txXfrm>
        <a:off x="2036544" y="404784"/>
        <a:ext cx="1822886" cy="457256"/>
      </dsp:txXfrm>
    </dsp:sp>
    <dsp:sp modelId="{40123BB1-3800-48D6-BC5B-5F51E3D790A5}">
      <dsp:nvSpPr>
        <dsp:cNvPr id="0" name=""/>
        <dsp:cNvSpPr/>
      </dsp:nvSpPr>
      <dsp:spPr>
        <a:xfrm>
          <a:off x="4023506" y="380047"/>
          <a:ext cx="1872360" cy="506730"/>
        </a:xfrm>
        <a:prstGeom prst="roundRect">
          <a:avLst/>
        </a:prstGeom>
        <a:solidFill>
          <a:schemeClr val="accent5"/>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Nature Friendly</a:t>
          </a:r>
        </a:p>
      </dsp:txBody>
      <dsp:txXfrm>
        <a:off x="4048243" y="404784"/>
        <a:ext cx="1822886" cy="45725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Retrospec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2021-05-19T04:31:00Z</dcterms:created>
  <dcterms:modified xsi:type="dcterms:W3CDTF">2021-05-19T04:31:00Z</dcterms:modified>
</cp:coreProperties>
</file>