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2C3C6" w14:textId="2C6341F5" w:rsidR="005A70CD" w:rsidRDefault="005A0778">
      <w:r w:rsidRPr="005A0778">
        <w:t>. THE BUSINESS PROBLEM</w:t>
      </w:r>
    </w:p>
    <w:p w14:paraId="1CBAC93F" w14:textId="77777777" w:rsidR="005A0778" w:rsidRDefault="005A0778" w:rsidP="005A0778"/>
    <w:p w14:paraId="44C729E3" w14:textId="77777777" w:rsidR="005A0778" w:rsidRDefault="005A0778" w:rsidP="005A0778">
      <w:r>
        <w:t>1. THE BUSINESS PROBLEM</w:t>
      </w:r>
    </w:p>
    <w:p w14:paraId="279ED10E" w14:textId="77777777" w:rsidR="005A0778" w:rsidRDefault="005A0778" w:rsidP="005A0778"/>
    <w:p w14:paraId="12C6D151" w14:textId="77777777" w:rsidR="005A0778" w:rsidRDefault="005A0778" w:rsidP="005A0778">
      <w:r>
        <w:t>Loan default is among the most financially damaging risks facing lending institutions. When borrowers fail to meet repayment obligations, lenders absorb losses on outstanding principal while incurring additional costs from collections, provisioning, and regulatory compliance. The ability to identify high-risk applicants before disbursement is therefore central to sustainable credit portfolio management.</w:t>
      </w:r>
    </w:p>
    <w:p w14:paraId="7058D1FC" w14:textId="77777777" w:rsidR="005A0778" w:rsidRDefault="005A0778" w:rsidP="005A0778">
      <w:r>
        <w:t>This analysis examines a dataset of 252,000 individual loan applicants across India, encompassing demographic attributes, employment history, asset ownership, profession, and geographic location. The target variable, Risk_Flag, classifies borrowers as defaulters (1) or non-defaulters (0). At an overall default rate of 12.3%, the dataset reflects a commercially realistic and class-imbalanced credit environment. The business objective is twofold: to identify which borrower characteristics are most strongly associated with default, and to establish an evidence-based foundation for a predictive credit risk model capable of improving underwriting decisions and reducing financial exposure.</w:t>
      </w:r>
    </w:p>
    <w:p w14:paraId="1A7CAE47" w14:textId="77777777" w:rsidR="005A0778" w:rsidRDefault="005A0778" w:rsidP="005A0778"/>
    <w:p w14:paraId="3C36ABD7" w14:textId="77777777" w:rsidR="005A0778" w:rsidRDefault="005A0778" w:rsidP="005A0778">
      <w:r>
        <w:t>2. RESEARCH QUESTIONS</w:t>
      </w:r>
    </w:p>
    <w:p w14:paraId="186B2CFA" w14:textId="77777777" w:rsidR="005A0778" w:rsidRDefault="005A0778" w:rsidP="005A0778"/>
    <w:p w14:paraId="62A92C70" w14:textId="3175D27F" w:rsidR="005A0778" w:rsidRDefault="005A0778" w:rsidP="005A0778">
      <w:r>
        <w:t>The EDA was structured around seven pre-specified hypotheses to prevent retrospective cherry-picking of results. The analysis examined whether: (1) lower income predicts higher default risk; (2) younger, less experienced borrowers default more; (3) short tenure in the current job elevates risk; (</w:t>
      </w:r>
      <w:r>
        <w:t>4</w:t>
      </w:r>
      <w:r>
        <w:t>) single borrowers default more than married ones;</w:t>
      </w:r>
      <w:r w:rsidRPr="005A0778">
        <w:t xml:space="preserve"> </w:t>
      </w:r>
      <w:r>
        <w:t>(</w:t>
      </w:r>
      <w:r>
        <w:t>5</w:t>
      </w:r>
      <w:r>
        <w:t>) renters and non-asset-owners are more financially vulnerable;  (6) profession type is associated with default; and (7) geographic location at the state level reflects differential risk. These questions span a borrower's full financial profile — from income and demographics through to employment stability, asset ownership, household structure, occupation, and region.</w:t>
      </w:r>
    </w:p>
    <w:p w14:paraId="0F1AB8AE" w14:textId="77777777" w:rsidR="005A0778" w:rsidRDefault="005A0778" w:rsidP="005A0778"/>
    <w:p w14:paraId="0F2BA595" w14:textId="77777777" w:rsidR="005A0778" w:rsidRDefault="005A0778" w:rsidP="005A0778">
      <w:r>
        <w:t>3. KEY INSIGHTS FROM THE EDA</w:t>
      </w:r>
    </w:p>
    <w:p w14:paraId="187C0BB7" w14:textId="77777777" w:rsidR="005A0778" w:rsidRDefault="005A0778" w:rsidP="005A0778"/>
    <w:p w14:paraId="69DA2300" w14:textId="77777777" w:rsidR="005A0778" w:rsidRDefault="005A0778" w:rsidP="005A0778">
      <w:r>
        <w:t xml:space="preserve">The most counterintuitive finding concerned income: default rates were statistically indistinguishable across all four income quartiles, ranging from 10.3% to 12.8%. </w:t>
      </w:r>
      <w:r>
        <w:lastRenderedPageBreak/>
        <w:t>Income alone is therefore a poor screening criterion — a result that challenges assumptions embedded in many traditional scoring models. In contrast, current job tenure emerged as the strongest numeric signal in the dataset.</w:t>
      </w:r>
    </w:p>
    <w:p w14:paraId="707DA7B1" w14:textId="77777777" w:rsidR="005A0778" w:rsidRDefault="005A0778" w:rsidP="005A0778"/>
    <w:p w14:paraId="1F971256" w14:textId="7CD7AE0D" w:rsidR="005A0778" w:rsidRDefault="005A0778" w:rsidP="005A0778">
      <w:r>
        <w:t>Borrowers in their 1st year at a new employer defaulted at 15.6%, rising to 17.0% in their 2nd year nearly 40% above the dataset average. Risk normalises sharply after three years of tenure, reflecting the income certainty that comes with established employment.</w:t>
      </w:r>
    </w:p>
    <w:p w14:paraId="01A7296A" w14:textId="77777777" w:rsidR="005A0778" w:rsidRDefault="005A0778" w:rsidP="005A0778"/>
    <w:p w14:paraId="04EC7585" w14:textId="77777777" w:rsidR="005A0778" w:rsidRDefault="005A0778" w:rsidP="005A0778">
      <w:r>
        <w:t>Age and experience confirmed Hypothesis 2: the 21–30 age group defaulted at 14.5% — the highest of any cohort — while borrowers with under five years of work experience reached 14.1%. Both reflect early-career financial fragility. Housing status revealed a 40% relative gap, with homeowners defaulting at 9.0% versus 12.6% for renters, reinforcing asset ownership as a proxy for financial resilience. Marital status provided consistent signal: single borrowers defaulted at 12.5% versus 10.2% for married borrowers, consistent with dual-income households offering a buffer against repayment shocks.</w:t>
      </w:r>
    </w:p>
    <w:p w14:paraId="7E6510A8" w14:textId="77777777" w:rsidR="005A0778" w:rsidRDefault="005A0778" w:rsidP="005A0778">
      <w:r>
        <w:t>Profession type produced the widest spread of any variable: Technology Specialists defaulted at 8.1% while Police Officers reached 16.4% — a near two-fold difference. High-risk professions share characteristics of irregular pay structures that introduce cash-flow volatility despite apparent employment stability. Geographic variation was equally significant, with Kerala (16.7%), Jammu and Kashmir (15.9%), and Madhya Pradesh (15.4%) leading state-level default rates, reflecting regional economic disparities not captured by individual borrower attributes alone.</w:t>
      </w:r>
    </w:p>
    <w:p w14:paraId="3E4E992F" w14:textId="77777777" w:rsidR="005A0778" w:rsidRDefault="005A0778"/>
    <w:sectPr w:rsidR="005A07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A50"/>
    <w:rsid w:val="00150EFE"/>
    <w:rsid w:val="005A0778"/>
    <w:rsid w:val="005A70CD"/>
    <w:rsid w:val="00CC1A50"/>
    <w:rsid w:val="00CE1084"/>
    <w:rsid w:val="00EC6E2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7FEC0"/>
  <w15:chartTrackingRefBased/>
  <w15:docId w15:val="{D18B23A2-10BF-41FF-B2C2-085B20E4D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A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1A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1A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A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A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A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A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A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1A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1A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A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A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A50"/>
    <w:rPr>
      <w:rFonts w:eastAsiaTheme="majorEastAsia" w:cstheme="majorBidi"/>
      <w:color w:val="272727" w:themeColor="text1" w:themeTint="D8"/>
    </w:rPr>
  </w:style>
  <w:style w:type="paragraph" w:styleId="Title">
    <w:name w:val="Title"/>
    <w:basedOn w:val="Normal"/>
    <w:next w:val="Normal"/>
    <w:link w:val="TitleChar"/>
    <w:uiPriority w:val="10"/>
    <w:qFormat/>
    <w:rsid w:val="00CC1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A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A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A50"/>
    <w:pPr>
      <w:spacing w:before="160"/>
      <w:jc w:val="center"/>
    </w:pPr>
    <w:rPr>
      <w:i/>
      <w:iCs/>
      <w:color w:val="404040" w:themeColor="text1" w:themeTint="BF"/>
    </w:rPr>
  </w:style>
  <w:style w:type="character" w:customStyle="1" w:styleId="QuoteChar">
    <w:name w:val="Quote Char"/>
    <w:basedOn w:val="DefaultParagraphFont"/>
    <w:link w:val="Quote"/>
    <w:uiPriority w:val="29"/>
    <w:rsid w:val="00CC1A50"/>
    <w:rPr>
      <w:i/>
      <w:iCs/>
      <w:color w:val="404040" w:themeColor="text1" w:themeTint="BF"/>
    </w:rPr>
  </w:style>
  <w:style w:type="paragraph" w:styleId="ListParagraph">
    <w:name w:val="List Paragraph"/>
    <w:basedOn w:val="Normal"/>
    <w:uiPriority w:val="34"/>
    <w:qFormat/>
    <w:rsid w:val="00CC1A50"/>
    <w:pPr>
      <w:ind w:left="720"/>
      <w:contextualSpacing/>
    </w:pPr>
  </w:style>
  <w:style w:type="character" w:styleId="IntenseEmphasis">
    <w:name w:val="Intense Emphasis"/>
    <w:basedOn w:val="DefaultParagraphFont"/>
    <w:uiPriority w:val="21"/>
    <w:qFormat/>
    <w:rsid w:val="00CC1A50"/>
    <w:rPr>
      <w:i/>
      <w:iCs/>
      <w:color w:val="0F4761" w:themeColor="accent1" w:themeShade="BF"/>
    </w:rPr>
  </w:style>
  <w:style w:type="paragraph" w:styleId="IntenseQuote">
    <w:name w:val="Intense Quote"/>
    <w:basedOn w:val="Normal"/>
    <w:next w:val="Normal"/>
    <w:link w:val="IntenseQuoteChar"/>
    <w:uiPriority w:val="30"/>
    <w:qFormat/>
    <w:rsid w:val="00CC1A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A50"/>
    <w:rPr>
      <w:i/>
      <w:iCs/>
      <w:color w:val="0F4761" w:themeColor="accent1" w:themeShade="BF"/>
    </w:rPr>
  </w:style>
  <w:style w:type="character" w:styleId="IntenseReference">
    <w:name w:val="Intense Reference"/>
    <w:basedOn w:val="DefaultParagraphFont"/>
    <w:uiPriority w:val="32"/>
    <w:qFormat/>
    <w:rsid w:val="00CC1A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559</Words>
  <Characters>3188</Characters>
  <Application>Microsoft Office Word</Application>
  <DocSecurity>0</DocSecurity>
  <Lines>26</Lines>
  <Paragraphs>7</Paragraphs>
  <ScaleCrop>false</ScaleCrop>
  <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Ramokwena,Poloko Paul</dc:creator>
  <cp:keywords/>
  <dc:description/>
  <cp:lastModifiedBy>Ramokwena,Poloko Paul</cp:lastModifiedBy>
  <cp:revision>2</cp:revision>
  <dcterms:created xsi:type="dcterms:W3CDTF">2026-03-05T01:19:00Z</dcterms:created>
  <dcterms:modified xsi:type="dcterms:W3CDTF">2026-03-05T01:25:00Z</dcterms:modified>
</cp:coreProperties>
</file>