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120"/>
      </w:pPr>
      <w:r>
        <w:t xml:space="preserve">Czerwińska A., </w:t>
      </w:r>
      <w:r>
        <w:rPr>
          <w:i/>
        </w:rPr>
        <w:t>Słowniczek ucznia. Chemia</w:t>
      </w:r>
      <w:r>
        <w:t>, Warszawa 1995.</w:t>
      </w:r>
    </w:p>
    <w:p>
      <w:pPr>
        <w:spacing w:after="120"/>
      </w:pPr>
      <w:r>
        <w:t xml:space="preserve">Śliwa W., </w:t>
      </w:r>
      <w:r>
        <w:rPr>
          <w:i/>
        </w:rPr>
        <w:t>Nieoceniony towarzysz</w:t>
      </w:r>
      <w:r>
        <w:t>, „Wiedza i Życie” 2006, nr 8.</w:t>
      </w:r>
    </w:p>
    <w:p>
      <w:pPr>
        <w:spacing w:after="120"/>
      </w:pPr>
      <w:r>
        <w:rPr>
          <w:highlight w:val="yellow"/>
        </w:rPr>
        <w:t xml:space="preserve">Brauna M., Wilk A. (red.), </w:t>
      </w:r>
      <w:r>
        <w:rPr>
          <w:i/>
          <w:highlight w:val="yellow"/>
        </w:rPr>
        <w:t>Świat jest piękny</w:t>
      </w:r>
      <w:r>
        <w:rPr>
          <w:highlight w:val="yellow"/>
        </w:rPr>
        <w:t>, Warszawa–Kraków 2018.</w:t>
      </w:r>
    </w:p>
    <w:p>
      <w:pPr>
        <w:spacing w:after="120"/>
      </w:pPr>
      <w:r>
        <w:t xml:space="preserve">Wiśniewski Ch., </w:t>
      </w:r>
      <w:r>
        <w:rPr>
          <w:i/>
        </w:rPr>
        <w:t>Elektrony biegają w powłokach</w:t>
      </w:r>
      <w:r>
        <w:t>, http://ciekawachemia.com/wisniewski.html.</w:t>
      </w:r>
    </w:p>
    <w:p>
      <w:pPr>
        <w:spacing w:after="120"/>
      </w:pPr>
      <w:r>
        <w:t xml:space="preserve">Bąk A.B., </w:t>
      </w:r>
      <w:r>
        <w:rPr>
          <w:i/>
        </w:rPr>
        <w:t>Woda jako rozpuszczalnik</w:t>
      </w:r>
      <w:r>
        <w:t xml:space="preserve">, w: Green Ch. (red.), </w:t>
      </w:r>
      <w:r>
        <w:rPr>
          <w:i/>
        </w:rPr>
        <w:t>Chemia codzienności. Materiały dla nauczycieli</w:t>
      </w:r>
      <w:r>
        <w:t>, London 2014, s. 77–92.</w:t>
      </w:r>
    </w:p>
    <w:p>
      <w:pPr>
        <w:spacing w:after="120"/>
      </w:pPr>
      <w:r>
        <w:rPr>
          <w:i/>
        </w:rPr>
        <w:t>Chemia dla wszystkich</w:t>
      </w:r>
      <w:r>
        <w:t>, EduNova, Warszawa 2010.</w:t>
      </w:r>
    </w:p>
    <w:p>
      <w:pPr>
        <w:spacing w:after="120"/>
      </w:pPr>
      <w:r>
        <w:t xml:space="preserve">Brown Ch., </w:t>
      </w:r>
      <w:r>
        <w:rPr>
          <w:i/>
        </w:rPr>
        <w:t>First Experiments in Chemistry</w:t>
      </w:r>
      <w:r>
        <w:t>, tłum. J. Kowalski, Kraków 2018.</w:t>
      </w:r>
    </w:p>
    <w:p>
      <w:pPr>
        <w:spacing w:after="120"/>
      </w:pPr>
      <w:r>
        <w:rPr>
          <w:highlight w:val="yellow"/>
        </w:rPr>
        <w:t xml:space="preserve">Kowalczyk, </w:t>
      </w:r>
      <w:r>
        <w:rPr>
          <w:i/>
          <w:highlight w:val="yellow"/>
        </w:rPr>
        <w:t>Kwasy w życiu codziennym</w:t>
      </w:r>
      <w:r>
        <w:rPr>
          <w:highlight w:val="yellow"/>
        </w:rPr>
        <w:t>, „Młody Chemik” 2020, nr 12.</w:t>
      </w:r>
    </w:p>
    <w:p>
      <w:pPr>
        <w:spacing w:after="120"/>
      </w:pPr>
      <w:r>
        <w:t xml:space="preserve">Zając M., Wróbel K., Zieliński T. i in. (red.), </w:t>
      </w:r>
      <w:r>
        <w:rPr>
          <w:i/>
        </w:rPr>
        <w:t>Nowoczesne laboratorium ucznia</w:t>
      </w:r>
      <w:r>
        <w:t>, t. 4, Gdańsk 2019.</w:t>
      </w:r>
    </w:p>
    <w:p>
      <w:pPr>
        <w:spacing w:after="120"/>
      </w:pPr>
      <w:r>
        <w:rPr>
          <w:i/>
        </w:rPr>
        <w:t>Rola doświadczenia w nauczaniu chemii</w:t>
      </w:r>
      <w:r>
        <w:t xml:space="preserve">, w: Adams Ch. (red.), </w:t>
      </w:r>
      <w:r>
        <w:rPr>
          <w:i/>
        </w:rPr>
        <w:t>Science Lessons and Practice</w:t>
      </w:r>
      <w:r>
        <w:t>, tłum. J. Green, School House, London, s. 55–70.</w:t>
      </w:r>
    </w:p>
    <w:sectPr>
      <w:pgSz w:w="11906" w:h="16838"/>
      <w:pgMar w:top="1440" w:right="1440" w:bottom="1440" w:left="1440" w:header="708" w:footer="708" w:gutter="0"/>
    </w:sectPr>
  </w:body>
</w:document>
</file>